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ΕΙΣΠΡΑΞΕΩΝ 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210 3630573, 3605159,3636833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d16director.esoda@1989.syzefx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ΑΔΑ:ΩΨ3046ΜΠ3Ζ-Π9Ψ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12 Φεβρουαρίου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1025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Ως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is.gov.gr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 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 aade. 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Διευκρινίσεις επί των διατάξεων του άρθρου 114 του ν. 4514/2018 (ΦΕΚ 14 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διατάξεις του άρθρου 114 του ν. 4514/2018 τροποποιούνται οι διατάξεις της υποπαρ. Α2 της παρ. Α του άρθρου πρώτου του ν.4152/2013 («πάγιας» ρύθμισης), έτσι ώστε να είναι δυνατή η υπαγωγή στην εν λόγω ρύθμιση και των βεβαιωμένων μη ληξιπρόθεσμων οφειλών στη Φορολογική Διοίκηση. Με αυτόν τον τρόπο ενισχύεται η φορολογική συνείδηση των φορολογουμένων, οι οποίοι βρίσκονται σε οικονομική αδυναμία, ωστόσο, επιθυμούν να τακτοποιήσουν τις βεβαιωμένες στη Φορολογική Διοίκηση οφειλές τους και πριν παρέλθει η νόμιμη προθεσμία καταβολής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Στη ρύθμιση </w:t>
      </w:r>
      <w:r>
        <w:rPr>
          <w:b/>
          <w:bCs/>
          <w:lang w:val="el" w:eastAsia="el"/>
        </w:rPr>
        <w:t xml:space="preserve">υπάγεται υποχρεωτικά </w:t>
      </w:r>
      <w:r>
        <w:rPr>
          <w:lang w:val="el" w:eastAsia="el"/>
        </w:rPr>
        <w:t xml:space="preserve">το σύνολο των βεβαιωμένων (κατά Κ.Ε.Δ.Ε. και Κ.Φ.Δ.) στη Φορολογική Διοίκηση (Δ.Ο.Υ., Ελεγκτικά Κέντρα) ληξιπρόθεσμων, έως </w:t>
      </w:r>
      <w:r>
        <w:rPr>
          <w:u w:val="single"/>
          <w:lang w:val="el" w:eastAsia="el"/>
        </w:rPr>
        <w:t>και</w:t>
      </w:r>
      <w:r>
        <w:rPr>
          <w:lang w:val="el" w:eastAsia="el"/>
        </w:rPr>
        <w:t xml:space="preserve"> την ημερομηνία υποβολής της αίτησης υπαγωγής, οφειλών που δεν έχουν τακτοποιηθεί κατά νόμιμο τρόπο (αναστολή πληρωμής ή διευκόλυνση ή άλλη νομοθετική ρύθμιση τμηματικής καταβολής ληξιπρόθεσμων οφειλών). Στις οφειλές αυτές συγκαταλέγονται και τυχόν οφειλές υπέρ τρίτων (Ν.Π.Δ.Δ. κλπ.), εφόσον δεν ορίζεται διαφορετικά.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Στη ρύθμιση </w:t>
      </w:r>
      <w:r>
        <w:rPr>
          <w:b/>
          <w:bCs/>
          <w:lang w:val="el" w:eastAsia="el"/>
        </w:rPr>
        <w:t>δύνανται να υπαχθούν</w:t>
      </w:r>
      <w:r>
        <w:rPr>
          <w:lang w:val="el" w:eastAsia="el"/>
        </w:rPr>
        <w:t xml:space="preserve">, </w:t>
      </w:r>
      <w:r>
        <w:rPr>
          <w:u w:val="single"/>
          <w:lang w:val="el" w:eastAsia="el"/>
        </w:rPr>
        <w:t>εφόσον αιτηθεί ο οφειλέτης: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οι βεβαιωμένες, έως την ημερομηνία υποβολής της αίτησης υπαγωγής, οφειλές που τελούν σε διοικητική ή δικαστική αναστολή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οι </w:t>
      </w:r>
      <w:r>
        <w:rPr>
          <w:u w:val="single"/>
          <w:lang w:val="el" w:eastAsia="el"/>
        </w:rPr>
        <w:t>βεβαιωμένες μη ληξιπρόθεσμες</w:t>
      </w:r>
      <w:r>
        <w:rPr>
          <w:lang w:val="el" w:eastAsia="el"/>
        </w:rPr>
        <w:t xml:space="preserve">, έως και την ημερομηνία υποβολής της αίτησης υπαγωγής στη ρύθμιση, οφειλές ή δόσεις οφειλών </w:t>
      </w:r>
      <w:r>
        <w:rPr>
          <w:u w:val="single"/>
          <w:lang w:val="el" w:eastAsia="el"/>
        </w:rPr>
        <w:t>σύμφωνα με τη νέα τροποποίηση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Επισήμανση: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✔ Στην περίπτωση που υπάρχουν περισσότερες των μία βεβαιωμένες μη ληξιπρόθεσμες οφειλές, ο αιτών </w:t>
      </w:r>
      <w:r>
        <w:rPr>
          <w:u w:val="single"/>
          <w:lang w:val="el" w:eastAsia="el"/>
        </w:rPr>
        <w:t>δύναται</w:t>
      </w:r>
      <w:r>
        <w:rPr>
          <w:lang w:val="el" w:eastAsia="el"/>
        </w:rPr>
        <w:t xml:space="preserve"> να επιλέξει, κατά την ημερομηνία της αίτησης, την υπαγωγή στη ρύθμιση μιας ή περισσοτέρων εξ’ αυτών ή δόσεων αυτών.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 νέα τροποποίηση ο οφειλέτης δύναται να υπαγάγει τις νέες οφειλές του στη Φορολογική Διοίκηση σε πρόγραμμα τμηματικής καταβολής </w:t>
      </w:r>
      <w:r>
        <w:rPr>
          <w:u w:val="single"/>
          <w:lang w:val="el" w:eastAsia="el"/>
        </w:rPr>
        <w:t>πριν λήξει η νόμιμη προθεσμία καταβολής τους</w:t>
      </w:r>
      <w:r>
        <w:rPr>
          <w:lang w:val="el" w:eastAsia="el"/>
        </w:rPr>
        <w:t>, σύμφωνα με τους όρους και τις προϋποθέσεις των διατάξεων της υποπαρ. Α2 της παρ. Α του άρθρου πρώτου του ν.4152/2013.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Υπενθυμίζεται ότι σχετική δυνατότητα παρέχεται </w:t>
      </w:r>
      <w:r>
        <w:rPr>
          <w:u w:val="single"/>
          <w:lang w:val="el" w:eastAsia="el"/>
        </w:rPr>
        <w:t>ήδη</w:t>
      </w:r>
      <w:r>
        <w:rPr>
          <w:lang w:val="el" w:eastAsia="el"/>
        </w:rPr>
        <w:t xml:space="preserve"> με τη ρύθμιση των διατάξεων του άρθρου 43 του ν. 4174/2013 (ΚΦΔ) για όσες οφειλές εμπίπτουν στο πεδίο εφαρμογής του (σχετ. Απόφαση Αναπληρωτή ΓΓΔΕ ΠΟΛ 1273/2015, όπως ισχύει.).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ισχύουν τα οριζόμενα στην Απόφαση ΓΓΔΕ ΠΟΛ 1112/2013 (1237 Β΄), όπως ισχύει, και στην εγκύκλιο ΠΟΛ 1172/2013.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Διοικητής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Γεώργιος Πιτσιλής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Αποδέκτες πίνακα Γ &amp;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4)Δ/νση Υποστήριξης Ηλεκτρονικών Υπηρεσιών (με την παράκληση να αναρτηθεί στην ιστοσελίδα της ΑΑΔΕ)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Φορολογική και Τελωνειακή Ακαδημία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Περιοδικό Φορολογική Επιθεώρηση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