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ΔΑΣΜΟΛΟΓΙΚΩΝ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ΤΕΛΩΝΕΙΑΚΩΝ ΟΙΚΟΝΟΜΙΚΩΝ ΚΑΘΕΣΤΩΤΩΝ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6ΛΕΙΗ-Ε1Ζ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6 Μαρτίου 2018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ΔΔΘΕΚΑΒ1037393ΕΞ2018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Πληροφορίες Τηλέφωνο 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Εύα Καραβανά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210 6987541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210 6987506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d17-c@2001.syzefxis.gov.gr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Ως προς τον πίνακα διανομής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286"/>
        <w:gridCol w:w="794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Κοινοποίηση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κατ΄ εξουσιοδότηση Κανονισμού (ΕΕ) αριθ. 216/2018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της Επιτροπής της 14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ης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Δεκεμβρίου 2017 για την τροποποίηση των παρατημάτων V και IX του Κανονισμού (ΕΕ) αριθ. 978/2012 του Ευρωπαϊκού Κοινοβουλίου και του Συμβουλίου για την εφαρμογή του Συστήματος Γενικευμένων Δασμολογικών Προτιμήσεων.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ΣΧΕΤ.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αριθ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 Δ17Γ5002426ΕΞ2013/18.1.2013 Δ.Υ.Ο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[Κοινοποίηση του ΚΑΝ (ΕΕ) αριθ. 978/2012 του Ευρωπαϊκού Κοινοβουλίου και του Συμβουλίου της 25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ης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Οκτωβρίου 2012 για την εφαρμογή του Συστήματος Γενικευμένων Δασμολογικών Προτιμήσεων και την κατάργηση του ΚΑΝ (ΕΚ) αριθ. 732/2008].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για ενημέρωση και εφαρμογή, τον </w:t>
      </w:r>
      <w:r>
        <w:rPr>
          <w:b/>
          <w:bCs/>
          <w:lang w:val="el" w:eastAsia="el"/>
        </w:rPr>
        <w:t xml:space="preserve">κατ’ εξουσιοδότηση κανονισμό (ΕΕ) αριθ. 216/2018 </w:t>
      </w:r>
      <w:r>
        <w:rPr>
          <w:lang w:val="el" w:eastAsia="el"/>
        </w:rPr>
        <w:t>της Επιτροπής της 14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Δεκεμβρίου 2017, που δημοσιεύθηκε στην Επίσημη Εφημερίδα της Ευρωπαϊκής Ένωσης (L42/15.02.2018), και αφορά στην </w:t>
      </w:r>
      <w:r>
        <w:rPr>
          <w:b/>
          <w:bCs/>
          <w:lang w:val="el" w:eastAsia="el"/>
        </w:rPr>
        <w:t xml:space="preserve">τροποποίηση των Παραρτημάτων V και IX </w:t>
      </w:r>
      <w:r>
        <w:rPr>
          <w:lang w:val="el" w:eastAsia="el"/>
        </w:rPr>
        <w:t>του Καν (ΕΕ) αριθ. 978/2012 για την εφαρμογή του Συστήματος Γενικευμένων Δασμολογικών Προτιμήσεων (ΣΓΠ).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Στο </w:t>
      </w:r>
      <w:r>
        <w:rPr>
          <w:b/>
          <w:bCs/>
          <w:lang w:val="el" w:eastAsia="el"/>
        </w:rPr>
        <w:t>Παράρτημα V</w:t>
      </w:r>
      <w:r>
        <w:rPr>
          <w:lang w:val="el" w:eastAsia="el"/>
        </w:rPr>
        <w:t>, απαριθμούνται τα προϊόντα για τα οποία εφαρμόζονται δασμολογικές προτιμήσεις στο πλαίσιο του γενικού καθεστώτος του συστήματος γενικευμένων προτιμήσεων που αναφέρεται στο άρθρο 1 παράγραφος 2 στοιχείο α) του κανονισμού (ΕΕ) αριθ. 978/2012 (όπως ορίζεται στο άρθρο 6 παράγραφος 1 του κανονισμού (ΕΕ) αριθ. 978/2012).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Στο </w:t>
      </w:r>
      <w:r>
        <w:rPr>
          <w:b/>
          <w:bCs/>
          <w:lang w:val="el" w:eastAsia="el"/>
        </w:rPr>
        <w:t xml:space="preserve">Παράρτημα ΙΧ, </w:t>
      </w:r>
      <w:r>
        <w:rPr>
          <w:lang w:val="el" w:eastAsia="el"/>
        </w:rPr>
        <w:t>απαριθμούνται τα προϊόντα για τα οποία εφαρμόζονται δασμολογικές προτιμήσεις στο πλαίσιο του ειδικού καθεστώτος παροχής κινήτρων για την αειφόρο ανάπτυξη και τη χρηστή διακυβέρνηση που αναφέρεται στο άρθρο 1 παράγραφος 2 στοιχείο β) του κανονισμού (ΕΕ) αριθ. 978/2012 (όπως ορίζεται στο άρθρο 11 παράγραφος 1 του κανονισμού (ΕΕ) αριθ. 978/2012).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Δεδομένης της </w:t>
      </w:r>
      <w:r>
        <w:rPr>
          <w:u w:val="single"/>
          <w:lang w:val="el" w:eastAsia="el"/>
        </w:rPr>
        <w:t>τροποποίησης της συνδυασμένης ονοματολογίας</w:t>
      </w:r>
      <w:r>
        <w:rPr>
          <w:lang w:val="el" w:eastAsia="el"/>
        </w:rPr>
        <w:t xml:space="preserve"> [όπως θεσπίστηκε με τον κανονισμό (ΕΟΚ) αριθ. 2658/87 του Συμβουλίου], με τον εκτελεστικό κανονισμό (ΕΕ) 2016/1821 της Επιτροπής , ο οποίος τέθηκε σε ισχύ την 1η Ιανουαρίου 2017, και </w:t>
      </w:r>
      <w:r>
        <w:rPr>
          <w:u w:val="single"/>
          <w:lang w:val="el" w:eastAsia="el"/>
        </w:rPr>
        <w:t>προκειμένου να διασφαλιστεί η συνοχή με τον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κατάλογο προϊόντων της συνδυασμένης ονοματολογίας</w:t>
      </w:r>
      <w:r>
        <w:rPr>
          <w:lang w:val="el" w:eastAsia="el"/>
        </w:rPr>
        <w:t>, τα παραρτήματα V και IX του κανονισμού (ΕΕ) αριθ. 978/2012 θα πρέπει να τροποποιηθούν αναλόγως.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Ειδικότερα, με το άρθρο 1 του κοινοποιούμενου κανονισμού, ο Καν (ΕΕ) αριθ. 978/2012 </w:t>
      </w:r>
      <w:r>
        <w:rPr>
          <w:b/>
          <w:bCs/>
          <w:lang w:val="el" w:eastAsia="el"/>
        </w:rPr>
        <w:t xml:space="preserve">τροποποιείται </w:t>
      </w:r>
      <w:r>
        <w:rPr>
          <w:lang w:val="el" w:eastAsia="el"/>
        </w:rPr>
        <w:t>ως εξής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Το </w:t>
      </w:r>
      <w:r>
        <w:rPr>
          <w:b/>
          <w:bCs/>
          <w:lang w:val="el" w:eastAsia="el"/>
        </w:rPr>
        <w:t>Παράρτημα V</w:t>
      </w:r>
      <w:r>
        <w:rPr>
          <w:lang w:val="el" w:eastAsia="el"/>
        </w:rPr>
        <w:t xml:space="preserve">, </w:t>
      </w:r>
      <w:r>
        <w:rPr>
          <w:u w:val="single"/>
          <w:lang w:val="el" w:eastAsia="el"/>
        </w:rPr>
        <w:t>αντικαθίσταται</w:t>
      </w:r>
      <w:r>
        <w:rPr>
          <w:lang w:val="el" w:eastAsia="el"/>
        </w:rPr>
        <w:t xml:space="preserve"> από το κείμενο του παραρτήματος I του παρόντος κανονισμού.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Το </w:t>
      </w:r>
      <w:r>
        <w:rPr>
          <w:b/>
          <w:bCs/>
          <w:lang w:val="el" w:eastAsia="el"/>
        </w:rPr>
        <w:t xml:space="preserve">Παράρτημα IX </w:t>
      </w:r>
      <w:r>
        <w:rPr>
          <w:u w:val="single"/>
          <w:lang w:val="el" w:eastAsia="el"/>
        </w:rPr>
        <w:t>αντικαθίσταται</w:t>
      </w:r>
      <w:r>
        <w:rPr>
          <w:lang w:val="el" w:eastAsia="el"/>
        </w:rPr>
        <w:t xml:space="preserve"> από το κείμενο του παραρτήματος II του παρόντος κανονισμού.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κοινοποιούμενος κανονισμός αρχίζει </w:t>
      </w:r>
      <w:r>
        <w:rPr>
          <w:b/>
          <w:bCs/>
          <w:lang w:val="el" w:eastAsia="el"/>
        </w:rPr>
        <w:t xml:space="preserve">να ισχύει </w:t>
      </w:r>
      <w:r>
        <w:rPr>
          <w:lang w:val="el" w:eastAsia="el"/>
        </w:rPr>
        <w:t>την εικοστή ημέρα από τη δημοσίευσή του στην Επίσημη Εφημερίδα της Ευρωπαϊκής Ένωσης (ημερομηνία δημοσίευσης: 15-02-2018).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Οι επαγγελματικοί ή συνδικαλιστικοί φορείς προς τους οποίους κοινοποιείται η παρούσα με τα συνημμένα της, παρακαλούνται όπως μεριμνήσουν για τη σχετική ενημέρωση των μελών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Τελωνειακές Περιφέρειες (για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ΕΛ.Υ.Τ Αττικής και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Υπουργείο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Αγροτικής Πολιτικής, Διεθνών Σχέσεων &amp; Προώθησης Προϊόντων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 – Τ.Κ. 101 76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Υπουργείο Οικονομίας, Ανάπτυξης και Τουρισμού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Πολιτικής Διεθνούς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&amp; Κορνάρου 1, Τ.Κ.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ΟΠΕΚΕΠΕ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241 – Τ.Κ. 104 46,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Κεντρική Ένωση Επιμελητηρίων Ελλάδος (για ενημέρωση των μελών της)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 – T.K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Σύνδεσμος Ελλήνων Βιομηχάνων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Σύνδεσμος Βιομηχανιών Αττικής και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10 – Τ.Κ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Σύνδεσμος Βιομηχάνων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24,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Σύνδεσμος Βιομηχ. Θεσσαλίας &amp; Κεντρ.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4 – Τ.Κ 382 21, ΒΟΛΟΣ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Σύνδεσμος Θεσσαλικών Βιομηχανιών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Καραμανλή &amp; Βιομηχ. – ΤΚ 413 35,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– Τ.Κ 105 52,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Σύνδεσμος Εξαγωγέων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25,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Σύνδεσμος Ελληνικών Επιχ/σεων Εξαγωγής Διακίνησης Φρούτων, Λαχανικών &amp; Χυμών Ικαρίας 32Α - Τ.Κ 16675, ΑΝΩ ΓΛΥΦΑΔΑ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Σύνδεσμος Ανωνύμων Εταιρειών και Ε.Π.Ε.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16 – Τ.Κ. 106 72,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Εθνική Συνομοσπονδία Ελληνικού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Μητροπόλεως 42 – Τ.Κ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Ομοσπονδία Εκτελωνιστών Ελλάδος (για ενημέρωση των μελών της) Καραΐσκου 82- Τ.Κ 185 32,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17)Γενική Συνομοσπονδία Επαγγελματιών, Βιοτεχνών, Εμπόρων Ελλάδας (ΓΣΕΒΕΕ) 18)Πανελλήνια Συνομοσπονδία Ενώσεων Γεωργικών Συνεταιρισμών (ΠΑΣΕΓΕΣ)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Γεν. Δ/ντριας Τελωνείων και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Δ/νση Δασμ. Θεμάτων και Τελων. Οικονομικών Καθεστώτων, Τμήματα Α΄&amp;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Ηλεκτρονικού Τελωνείου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7-c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