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ΔΑΣΜΟΛΟΓΙΚΩΝ ΘΕΜΑΤΩΝ, ΕΙΔΙΚΩΝ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ΚΑΘΕΣΤΩΤΩΝ &amp; ΑΠΑΛΛΑΓΩΝ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Πληροφορίες Τηλέφωνο 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Γιάννακα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210-6987772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210-6987506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ipr@otenet.gr</w:t>
        </w:r>
      </w:hyperlink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ΠΡΟΣ: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ΩΣ 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Θέμα: </w:t>
      </w:r>
      <w:r>
        <w:rPr>
          <w:u w:val="single"/>
          <w:lang w:val="el" w:eastAsia="el"/>
        </w:rPr>
        <w:t>«Κοινοποίηση της αριθμ. 46/6.3.2018 Γνωμοδότησης του Νομικού Συμβουλίου του Κράτους»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Σας κοινοποιούμε για ενημέρωση και εφαρμογή την αριθμ. 46/2018 Γνωμοδότηση του Νομικού Συμβουλίου του Κράτους, η οποία έγινε δεκτή αρμοδίως.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Ειδικότερα, με την εν λόγω Γνωμοδότηση το ΝΣΚ γνωμοδότησε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α)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χρόνος έναρξης της πενταετούς παραγραφής των απαιτήσεων κατά του Δημοσίου σχετικά με το ν.2861/1954 είναι αποκλειστικά το τέλος του οικονομικού έτους εντός του οποίου πραγματοποιήθηκε εξαγωγή. β) Η υποβολή αίτησης επιστροφής διακόπτει την πενταετή παραγραφή. Εάν δοθεί απάντηση από την αρμόδια Υπηρεσία στην υποβληθείσα αίτηση, η νέα πενταετής παραγραφή αρχίζει μετά την απάντηση, ενώ εάν δεν δοθεί απάντηση εντός 6 μηνών, η νέα πενταετής παραγραφή αρχίζει μετά την παρέλευση έξι μηνών. γ) Η τυχόν κατάθεση του εντύπου «ΔΗΛΩΣΗ ΠΡΟΕΛΕΥΣΗΣ ΕΜΠΟΡΕΥΜΑΤΩΝ-ΑΙΤΗΣΗ ΧΟΡΗΓΗΣΗΣ ΑΝΤΙΓΡΑΦΩΝ» σε χρόνο μεταγενέστερο της εξαγωγής δεν διακόπτει την παραγραφή, ούτε αρχίζει νέα παραγραφή. Στο δεύτερο ερώτημα η γνωμοδότηση αποφαίνεται ότι η αίτηση περί επιστροφής μαζί με τα απαιτούμενα δικαιολογητικά μπορεί να υποβληθεί οποτεδήποτε εντός του χρόνου της πενταετούς παραγραφής, η οποία αρχίζει από το τέλος του οικονομικού έτους που πραγματοποιήθηκε η εξαγωγή.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Παρακαλούμε για την ενημέρωση όλων συναρμόδιων υπηρεσιών.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ΠΡΟΙΣΤΑΜΕΝΗ Δ/ΝΣΗΣ 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Α΄ΤΕΛΩΝΕΙΟ ΘΕΣΣΑΛΟΝΙΚΗΣ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Γ΄ΤΕΛΩΝΕΙΟ ΘΕΣΣΑΛΟΝΙΚΗΣ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ΤΕΛΩΝΕΙΑΚΕΣ ΠΕΡΙΦΕΡΕΙΕΣ (για ενημέρωση των Τελωνείων αρμοδιότητας σας)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4. Δ/νση Υποστήριξης Ηλεκτρονικών Υπηρεσιών (για ενημέρωση της «Ηλεκτρονικής Βιβλιοθήκης»)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5. Δ/νση Ηλεκτρονικού Τελωνείου ( για ανάρτηση στο Portal του IcisNET)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Υπηρεσία Ερευνών και Διασφάλισης Δημοσίων Εσόδων (Υ.Ε.Δ.Δ.Ε)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Δ/νση Εσωτ. Ελέγχου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Ε.Λ.Υ.Τ Αττικής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4. Ε.Λ.Υ.Τ Θεσ/κης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ΓΡΑΦΕΙΟ ΔΙΟΙΚΗΤΗ ΑΑΔΕ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2. ΓΡΑΦΕΙΟ ΓΕΝΙΚΗΣ Δ/ΝΤΡΙΑΣ ΤΕΛΩΝΕΙΩΝ &amp; ΕΦΚ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3. ΔΔΘΕΚΑ-ΤΜ. Δ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pr@otenet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