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Θέμα:</w:t>
      </w:r>
      <w:r>
        <w:rPr>
          <w:b/>
          <w:bCs/>
          <w:lang w:val="el" w:eastAsia="el"/>
        </w:rPr>
        <w:t xml:space="preserve"> Ερμηνεία του Άρθρου 12 της ΣΑΔΦΕ μεταξύ της Ελλάδας και της Ρωσικής Ομοσπονδίας (Ν.3047/2002, ΦΕΚ τ.Α’ 200/2002).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Σχετικά με την </w:t>
      </w:r>
      <w:r>
        <w:rPr>
          <w:b/>
          <w:bCs/>
          <w:lang w:val="el" w:eastAsia="el"/>
        </w:rPr>
        <w:t xml:space="preserve">φορολογική αντιμετώπιση αμοιβής αλλοδαπής εταιρείας που παρείχε υπηρεσίες πιστοποίησης βιομηχανικού εξοπλισμού </w:t>
      </w:r>
      <w:r>
        <w:rPr>
          <w:lang w:val="el" w:eastAsia="el"/>
        </w:rPr>
        <w:t xml:space="preserve">ελληνικής εξαγωγικής εταιρείας καθώς </w:t>
      </w:r>
      <w:r>
        <w:rPr>
          <w:b/>
          <w:bCs/>
          <w:lang w:val="el" w:eastAsia="el"/>
        </w:rPr>
        <w:t xml:space="preserve">και της μετάφρασης </w:t>
      </w:r>
      <w:r>
        <w:rPr>
          <w:lang w:val="el" w:eastAsia="el"/>
        </w:rPr>
        <w:t>των σχετικών τεχνικών εγχειριδίων, προκειμένου ο εξοπλισμός αυτός να λάβει την απαιτούμενη αδειοδότηση / πιστοποίηση από τις αρμόδιες Ρωσικές Αρχές για να εισαχθεί στην Ρωσική Ομοσπονδία, αναφέρονται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Στην ΣΑΔΦ μεταξύ της Ελλάδας και της Ρωσικής Ομοσπονδίας (Ν.3047/2002, ΦΕΚ τ.Α’ 200/2002) και ειδικότερα στο Άρθρο 12 (Δικαιώματα), παρ. 3 προβλέπεται ότι «ο όρος «δικαιώματα» όπως χρησιμοποιείται σ’αυτό το άρθρο, σημαίνει πληρωμές κάθε είδους που εισπράττονται ως αντάλλαγμα για τη χρήση, ή το δικαίωμα χρήσης, οποιουδήποτε δικαιώματος αναπαραγωγής φιλολογικής, καλλιτεχνικής ή επιστημονικής εργασίας περιλαμβανομένων των κινηματογραφικών ταινιών, ταινιών ή μαγνητοταινιών για τηλεοπτικές ή ραδιοφωνικές εκπομπές, οποιασδήποτε ευρεσιτεχνίας, εμπορικού σήματος, σχεδίου ή τύπου εξειδικευμένων γνώσεων, μηχανολογικού σχεδίου, μυστικού τύπου ή διαδικασίας παραγωγής, ή για τη χρήση ή το δικαίωμα χρήσης, βιομηχανικού, εμπορικού ή επιστημονικού εξοπλισμού ή για πληροφορίες που αφορούν σε βιομηχανική, εμπορική ή επιστημονική εμπειρία».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Στην Πρότυπη Σύμβαση του ΟΟΣΑ για την Αποφυγή της διπλής φορολογίας σχετικά με τους φόρους εισοδήματος και κεφαλαίου (επικαιροποίηση 2017) η φορολογική μεταχείριση των δικαιωμάτων προσδιορίζεται στο άρθρο 12 αυτής. Στις προκαταρκτικές παρατηρήσεις των Σχολίων του Άρθρου 12 αναφέρεται ότι «Κατ 'αρχήν, </w:t>
      </w:r>
      <w:r>
        <w:rPr>
          <w:b/>
          <w:bCs/>
          <w:lang w:val="el" w:eastAsia="el"/>
        </w:rPr>
        <w:t xml:space="preserve">τα δικαιώματα </w:t>
      </w:r>
      <w:r>
        <w:rPr>
          <w:lang w:val="el" w:eastAsia="el"/>
        </w:rPr>
        <w:t xml:space="preserve">σχετικά με τις άδειες χρήσης διπλωμάτων ευρεσιτεχνίας και παρόμοιων περιουσιακών στοιχείων και παρόμοιων πληρωμών </w:t>
      </w:r>
      <w:r>
        <w:rPr>
          <w:b/>
          <w:bCs/>
          <w:lang w:val="el" w:eastAsia="el"/>
        </w:rPr>
        <w:t>αποτελούν εισόδημα του δικαιούχου από παραχώρηση (letting)</w:t>
      </w:r>
      <w:r>
        <w:rPr>
          <w:lang w:val="el" w:eastAsia="el"/>
        </w:rPr>
        <w:t>. Η παραχώρηση μπορεί να χορηγηθεί σε σχέση με μια επιχείρηση (π.χ. χρήση λογοτεχνικών δικαιωμάτων πνευματικής ιδιοκτησίας που χορηγούνται από έναν εκδότη ή χρήση διπλώματος ευρεσιτεχνίας που χορηγείται από τον εφευρέτη) ή εντελώς ανεξάρτητα από οποιαδήποτε δραστηριότητα του παραχωρούντος (π.χ. κληρονόμοι του εφευρέτη)».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Σχόλιο 11 του Άρθρου 12 αναφέρεται στον προσδιορισμό ως δικαιώματα, πληρωμών που λαμβάνονται σε σχέση με πληροφορίες που αφορούν βιομηχανική, εμπορική ή επιστημονική εμπειρία (experience) υπό την έννοια της παροχής τεχνογνωσίας «know-how» (παρ.2 του άρθρου 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Ειδικότερα το Σχόλιο 11.3 του Άρθρου 12 της Πρότυπης Σύμβασης του ΟΟΣΑ αναφέρει την ανάγκη διάκρισης μεταξύ των πληρωμών για παροχή τεχνογνωσίας και των πληρωμών για την παροχή υπηρεσιών, η οποία ενίοτε διέπεται από τεχνικές δυσκολίες. Στην δεύτερη περίπτωση (παύλα) αναφέρεται: «Στην περίπτωση συμβάσεων (contracts) παροχής υπηρεσιών, ο πάροχος αναλαμβάνει την υποχρέωση να παρέχει υπηρεσίες οι οποίες ενδέχεται να απαιτούν τη χρήση εκ μέρους του ειδικών γνώσεων, δεξιοτήτων και εμπειρογνωμοσύνης, </w:t>
      </w:r>
      <w:r>
        <w:rPr>
          <w:b/>
          <w:bCs/>
          <w:lang w:val="el" w:eastAsia="el"/>
        </w:rPr>
        <w:t>αλλά όχι τη μεταφορά τέτοιων ειδικών γνώσεων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>δεξιοτήτων ή εμπειρογνωμοσύνης στο άλλο μέρος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Στο Σχόλιο 10.1 επίσης αναφέρεται ότι «Οι πληρωμές που πραγματοποιούνται αποκλειστικά για την απόκτηση δικαιωμάτων αποκλειστικής διανομής ενός προϊόντος ή μιας υπηρεσίας σε μια δεδομένη επικράτεια δεν συνιστούν δικαιώματα, δεδομένου ότι δεν γίνονται για τη χρήση ή το δικαίωμα χρήσης ενός στοιχείου ιδιοκτησίας που περιλαμβάνεται στον ορισμό. </w:t>
      </w:r>
      <w:r>
        <w:rPr>
          <w:b/>
          <w:bCs/>
          <w:lang w:val="el" w:eastAsia="el"/>
        </w:rPr>
        <w:t>Αυτές οι πληρωμές, οι οποίες θεωρούνται καλύτερα ως πραγματοποιηθείσες για την αύξηση των εσόδων από πωλήσεις, εμπίπτουν στο άρθρο 7 (Επιχειρηματικά Κέρδη)…»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Συνεπώς αναφορικά με τις πληρωμές που καταβάλλονται </w:t>
      </w:r>
      <w:r>
        <w:rPr>
          <w:b/>
          <w:bCs/>
          <w:lang w:val="el" w:eastAsia="el"/>
        </w:rPr>
        <w:t xml:space="preserve">έναντι υπηρεσιών πιστοποίησης και μετάφρασης βιομηχανικού ή άλλου είδους εξοπλισμού </w:t>
      </w:r>
      <w:r>
        <w:rPr>
          <w:lang w:val="el" w:eastAsia="el"/>
        </w:rPr>
        <w:t xml:space="preserve">προκειμένου αυτός να πιστοποιηθεί ότι πληροί τις εκάστοτε προδιαγραφές (τεχνικές, περιβαλλοντικές, ασφαλείας κλπ) που τίθενται από τις αρμόδιες αρχές της άλλης χώρας και αντιστοίχως να αδειοδοτηθεί η χρήση του (εισαγωγή του), αυτές δεν εμπίπτουν στο πεδίο εφαρμογής του προαναφερθέντος άρθρου 12 της αναφερομένης στο θέμα Σύμβασης, αλλά </w:t>
      </w:r>
      <w:r>
        <w:rPr>
          <w:b/>
          <w:bCs/>
          <w:lang w:val="el" w:eastAsia="el"/>
        </w:rPr>
        <w:t>εμπίπτουν στις διατάξεις του άρθρου 7 της Σύμβασης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Συνοψίζοντας και σε σχέση με την ορθή εφαρμογή της αναφερομένης στο θέμα ΣΑΔΦ, η αμοιβή αλλοδαπής εταιρείας για υπηρεσίες πιστοποίησης και μετάφρασης που παρείχε σε ελληνική εταιρεία, υπάγεται στο Άρθρο 7 (Κέρδη Επιχειρήσεων) της προαναφερθείσας ΣΑΔΦ και συνεπώς δεν υπόκειται σε παρακράτηση φόρου.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1. Αποδέκτες Πίνακα Γ΄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2. Κεντρική Υπηρεσία ΣΔΟΕ και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3. Διεύθυνση Υποστήριξης Ηλεκτρονικών Υπηρεσιών (Με την παράκληση να αναρτηθεί στην ιστοσελίδα της ΑΑΔΕ και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Εσωτερική Διανομή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Εφαρμογής Άμεσης Φορολογίας – Τμήμα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Διεθνών Οικονομικών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