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ΕΠΑΝΑΛΗΨΗ ΣΤΟ ΟΡΘΟ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ΩΣ ΠΡΟΣ ΤΟ ΣΥΝΗΜΜΕΝΟ ΑΡΧΕΙΟ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ΨΞΣΑ46ΜΠ3Ζ-ΦΛΥ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ΚΕΦΑΛΑΙΟΥ KAI ΠΕΡΙΟΥΣΙΟΛΟΓΙΟΥ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8 101 84 ΑΘΗΝΑ 210 3375878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defk.a@aade.gr</w:t>
        </w:r>
      </w:hyperlink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1086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Πίνακα Αποδεκτών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Θέμα: </w:t>
      </w:r>
      <w:r>
        <w:rPr>
          <w:lang w:val="el" w:eastAsia="el"/>
        </w:rPr>
        <w:t>Κοινοποίηση της 207/2017 γνωμοδότησης της Ολομέλειας του Ν.Σ.Κ. σχετικά με απαλλαγή από τον ειδικό φόρο επί των ακινήτων νομικών προσώπων με έδρα σε κράτη μέλη του Ευρωπαϊκού Οικονομικού Χώρου (Ε.Ο.Χ.).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την 207/2017 γνωμοδότηση της Ολομέλειας του Ν.Σ.Κ., η οποία έγινε δεκτή από το Διοικητή της Α.Α.Δ.Ε..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την ανωτέρω γνωμοδότηση κρίθηκε ομόφωνα ότι οι απαλλαγές της παραγράφου 3 του άρθρου 15 του ν. 3091/2002 δεν έχουν εφαρμογή σε νομικά πρόσωπα που έχουν την έδρα τους σε χώρα του Ευρωπαϊκού Οικονομικού Χώρου(Ε.Ο.Χ.), </w:t>
      </w:r>
      <w:r>
        <w:rPr>
          <w:u w:val="single"/>
          <w:lang w:val="el" w:eastAsia="el"/>
        </w:rPr>
        <w:t>εφόσον αυτή χαρακτηρίζεται ως μη</w:t>
      </w:r>
      <w:r>
        <w:rPr>
          <w:u w:val="single"/>
          <w:lang w:val="el" w:eastAsia="el"/>
        </w:rPr>
        <w:t>συνεργάσιμη.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Επομένως, σύμφωνα με τα ανωτέρω, οι απαλλαγές της παραγράφου 3 του άρθρου 15 του ν. 3091/2002 έχουν εφαρμογή και σε νομικά πρόσωπα που έχουν την έδρα τους σε χώρα του Ε.Ο.Χ. (Ισλανδία, Λιχτενστάιν και Νορβηγία), εφόσον βέβαια αυτές χαρακτηρίζονται ως συνεργάσιμα κράτη την 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Ιανουαρίου κάθε έτους για το οποίο χορηγείται η απαλλαγή.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Σημειώνουμε ότι το Λιχτενστάιν χαρακτηρίστηκε ως συνεργάσιμο κράτος για πρώτη φορά το έτος 2017 (σχετική η ΠΟΛ 1024/2018 απόφαση του Υπουργού Οικονομικών, ΦΕΚ 542 Β΄).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Α.Α.Δ.Ε. 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Συνημμένα : </w:t>
      </w:r>
      <w:r>
        <w:rPr>
          <w:lang w:val="el" w:eastAsia="el"/>
        </w:rPr>
        <w:t>1 Γνωμοδότηση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Υποστήριξης Ηλεκτρονικών Υπηρεσιών – Τμήμα Α΄ (με την παράκληση να αναρτηθεί στην ιστοσελίδα της Α.Α.Δ.Ε. και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(περίπτωση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Ζ΄ (περιπτώσεις 1 και 6)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Η΄(περιπτώσεις 1 έως και 3, 5 έως και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Ι΄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Προϊσταμένου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Διευθύνσεις, Αυτοτελή Τμήματα και Αυτοτελή Γραφεία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Νομικής Υποστήριξης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Εισπράξεων – Τμήματα Α΄ και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Δ/νση Εφαρμογής Φορολογίας Κεφαλαίου και Περιουσιολογίου – Τμήματα Α΄ και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fk.a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