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-△"Ρθ^ω/Λ^όδω^ΟΡΟΛΟΓΙΚΗΣ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 Μ. Χαπίδης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– 3375312 210 – 3375001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d12.b@ yo.syzefxis.gov.gr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«Παρακράτηση φόρου κατά την κεφαλαιοποίηση κερδών παρελθουσών χρήσεων».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Αναφορικά με το πιο πάνω θέμα, σας γνωρίζουμε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τις διατάξεις της παρ. 1 του άρθρου 63 του ν.4172/2013 ορίζεται ότι δεν παρακρατείται καθόλου φόρος 15% από μερίσματα και παρόμοιες πληρωμές που διανέμονται σε νομικό πρόσωπο το οποίο περιλαμβάνεται στο Παράρτημα της Οδηγίας 2011/96/Ε.Ε. σχετικά με το κοινό φορολογικό καθεστώς το οποίο ισχύει για τις μητρικές και τις θυγατρικές εταιρείες διαφορετικών κρατών - μελών, όπως αυτή ισχύει, εφόσον: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 νομικό πρόσωπο που εισπράττει κατέχει μετοχές, μερίδια ή συμμετοχή τουλάχιστον δέκα τοις εκατό (10%), βάσει αξίας ή αριθμού, στο μετοχικό κεφάλαιο ή δικαιώματα σε κέρδη, δικαιώματα ψήφου του φορολογούμενου που προβαίνει στη διανομή,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 ελάχιστο ποσοστό κατοχής μετοχών ή μεριδίων ή συμμετοχής διακρατείται για τουλάχιστον είκοσι τέσσερις (24) μήνες,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 νομικό πρόσωπο που εισπράττει: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αα)</w:t>
      </w:r>
      <w:r>
        <w:rPr>
          <w:lang w:val="en" w:eastAsia="en"/>
        </w:rPr>
        <w:tab/>
      </w:r>
      <w:r>
        <w:rPr>
          <w:lang w:val="el" w:eastAsia="el"/>
        </w:rPr>
        <w:t>περιλαμβάνεται στους τύπους απαριθμούνται στο Παράρτημα Ι Μέρος Α της Οδηγίας 2011/96/ΕΕ, όπως ισχύει,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ββ)</w:t>
      </w:r>
      <w:r>
        <w:rPr>
          <w:lang w:val="en" w:eastAsia="en"/>
        </w:rPr>
        <w:tab/>
      </w:r>
      <w:r>
        <w:rPr>
          <w:lang w:val="el" w:eastAsia="el"/>
        </w:rPr>
        <w:t>είναι φορολογικός κάτοικος κράτους - μέλους της Ε.Ε. σύμφωνα με τη νομοθεσία του κράτους αυτού και δεν θεωρείται φορολογικός κάτοικος τρίτου κράτους εκτός Ε.Ε. κατ` εφαρμογή όρων σύμβασης αποφυγής διπλής φορολογίας που έχει συναφθεί με αυτό το τρίτο κράτος,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γγ)</w:t>
      </w:r>
      <w:r>
        <w:rPr>
          <w:lang w:val="en" w:eastAsia="en"/>
        </w:rPr>
        <w:tab/>
      </w:r>
      <w:r>
        <w:rPr>
          <w:lang w:val="el" w:eastAsia="el"/>
        </w:rPr>
        <w:t>υπόκειται, χωρίς τη δυνατότητα επιλογής ή απαλλαγής, σε έναν από τους φόρους που αναφέρονται στο Παράρτημα Ι Μέρος Β της Οδηγίας 2011/96/ΕΕ ή σε οποιονδήποτε άλλο φόρο ενδεχομένως στο μέλλον αντικαταστήσει έναν από τους φόρους αυτούς.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Ενόψει των ανωτέρω, με την ΠΟΛ.1039/2015 εγκύκλιο διευκρινίσθηκε ότι κάθε νομικό πρόσωπο της περ. γ’ του άρθρου 2 ή νομική οντότητα της περ. δ’ του ιδίου άρθρου που προβαίνει σε διανομή κερδών δεν θα διενεργεί παρακράτηση φόρου 15% εφόσον πληρούνται οι αναφερόμενες πιο πάνω προϋποθέσεις.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Περαιτέρω, με την ΠΟΛ.1042/2015 εγκύκλιο διευκρινίσθηκε ότι στην έννοια της διανομής κερδών περιλαμβάνεται και η διανομή ή κεφαλαιοποίηση κερδών παρελθουσών χρήσεων, των αποθεματικών που δεν υπάγονται στην αυτοτελή φορολόγηση της παρ. 12 του άρθρου 72 του ν. 4172/2013, καθώς και των αποθεματικών που σχηματίζονται με βάση τις διατάξεις του νέου Κ.Φ.Ε. (ν. 4172/2013).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Από όλα όσα αναφέρθηκαν πιο πάνω και δεδομένου ότι στην έννοια διανομής κερδών περιλαμβάνεται και η κεφαλαιοποίηση κερδών παρελθουσών χρήσεων, συνάγεται ότι κατά την κεφαλαιοποίηση κερδών παρελθουσών χρήσεων από υπόχρεους του άρθρου 61 του ν.4172/2013 προς νομικά πρόσωπα που πληρούν τις προϋποθέσεις της παρ. 1 του άρθρου 63 του ν.4172/2013, δεν διενεργείται παρακράτηση φόρου 15%, με βάση τις διατάξεις του άρθρου 64 του ίδιου νόμου.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τις Περιφερειακές Διευθύνσεις 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 – Τμήμα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Α’, Β’, (εκτός των αριθ.1 και 2 αυτού), Ζ’, Η’, Θ’, Ι’, ΙΒ’, ΙΓ’, ΙΔ’, ΙΕ’, ΙΣΤ’, ΙΖ’, ΙΗ’, ΙΘ’, Κ’, ΚΑ’, ΚΒ’ και ΚΓ’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Υπουργείο Οικονομίας &amp; Ανάπτυξης, Γενική Γραμματεία Εμπορίου &amp; Προστασίας Καταναλωτή, Γενική Δ/νση Αγοράς, Δ/νση Εταιρειών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Τιτάν Α.Ε., Χαλκίδος 22 Α, 111 43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Εφαρμογής Άμεσης Φορολογίας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2.b@yo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