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 xml:space="preserve">ΔΙΕΥΘΥΝΣΗ ΕΦΑΡΜΟΓΗΣ ΕΜΜΕΣΗΣ ΦΟΡ. </w:t>
      </w:r>
      <w:r>
        <w:rPr>
          <w:b/>
          <w:bCs/>
          <w:sz w:val="30"/>
          <w:szCs w:val="30"/>
          <w:vertAlign w:val="subscript"/>
          <w:lang w:val="el" w:eastAsia="el"/>
        </w:rPr>
        <w:t>Αθ</w:t>
      </w:r>
      <w:r>
        <w:rPr>
          <w:b/>
          <w:bCs/>
          <w:lang w:val="el" w:eastAsia="el"/>
        </w:rPr>
        <w:t>ή</w:t>
      </w:r>
      <w:r>
        <w:rPr>
          <w:b/>
          <w:bCs/>
          <w:sz w:val="30"/>
          <w:szCs w:val="30"/>
          <w:vertAlign w:val="subscript"/>
          <w:lang w:val="el" w:eastAsia="el"/>
        </w:rPr>
        <w:t>να,</w:t>
      </w:r>
      <w:r>
        <w:rPr>
          <w:b/>
          <w:bCs/>
          <w:lang w:val="el" w:eastAsia="el"/>
        </w:rPr>
        <w:t xml:space="preserve"> 2 </w:t>
      </w:r>
      <w:r>
        <w:rPr>
          <w:b/>
          <w:bCs/>
          <w:sz w:val="30"/>
          <w:szCs w:val="30"/>
          <w:vertAlign w:val="subscript"/>
          <w:lang w:val="el" w:eastAsia="el"/>
        </w:rPr>
        <w:t>Ιουλίου</w:t>
      </w:r>
      <w:r>
        <w:rPr>
          <w:b/>
          <w:bCs/>
          <w:lang w:val="el" w:eastAsia="el"/>
        </w:rPr>
        <w:t xml:space="preserve"> 2</w:t>
      </w:r>
      <w:r>
        <w:rPr>
          <w:b/>
          <w:bCs/>
          <w:sz w:val="30"/>
          <w:szCs w:val="30"/>
          <w:vertAlign w:val="subscript"/>
          <w:lang w:val="el" w:eastAsia="el"/>
        </w:rPr>
        <w:t>01</w:t>
      </w:r>
      <w:r>
        <w:rPr>
          <w:b/>
          <w:bCs/>
          <w:lang w:val="el" w:eastAsia="el"/>
        </w:rPr>
        <w:t>8</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 ΦΟΡ.</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 ΠΟΛ. 1124</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sz w:val="30"/>
          <w:szCs w:val="30"/>
          <w:vertAlign w:val="superscript"/>
          <w:lang w:val="el" w:eastAsia="el"/>
        </w:rPr>
        <w:t>Τ</w:t>
      </w:r>
      <w:r>
        <w:rPr>
          <w:lang w:val="el" w:eastAsia="el"/>
        </w:rPr>
        <w:t>α</w:t>
      </w:r>
      <w:r>
        <w:rPr>
          <w:sz w:val="30"/>
          <w:szCs w:val="30"/>
          <w:vertAlign w:val="superscript"/>
          <w:lang w:val="el" w:eastAsia="el"/>
        </w:rPr>
        <w:t>χ. Δ/ν</w:t>
      </w:r>
      <w:r>
        <w:rPr>
          <w:lang w:val="el" w:eastAsia="el"/>
        </w:rPr>
        <w:t xml:space="preserve">ση </w:t>
      </w:r>
      <w:r>
        <w:rPr>
          <w:sz w:val="30"/>
          <w:szCs w:val="30"/>
          <w:vertAlign w:val="superscript"/>
          <w:lang w:val="el" w:eastAsia="el"/>
        </w:rPr>
        <w:t>: Σίν</w:t>
      </w:r>
      <w:r>
        <w:rPr>
          <w:lang w:val="el" w:eastAsia="el"/>
        </w:rPr>
        <w:t xml:space="preserve">α </w:t>
      </w:r>
      <w:r>
        <w:rPr>
          <w:sz w:val="30"/>
          <w:szCs w:val="30"/>
          <w:vertAlign w:val="superscript"/>
          <w:lang w:val="el" w:eastAsia="el"/>
        </w:rPr>
        <w:t>2 - 4</w:t>
      </w:r>
      <w:r>
        <w:rPr>
          <w:b/>
          <w:bCs/>
          <w:lang w:val="el" w:eastAsia="el"/>
        </w:rPr>
        <w:t>ΠΡΟΣ: Ως Πίνακας Διανομής</w:t>
      </w:r>
    </w:p>
    <w:p>
      <w:pPr>
        <w:spacing w:before="240" w:after="240"/>
        <w:rPr>
          <w:lang w:val="el" w:eastAsia="el"/>
        </w:rPr>
      </w:pPr>
      <w:r>
        <w:rPr>
          <w:lang w:val="el" w:eastAsia="el"/>
        </w:rPr>
        <w:t>Ταχ. Κωδ. : 106 72, Αθήνα</w:t>
      </w:r>
    </w:p>
    <w:p>
      <w:pPr>
        <w:spacing w:before="240" w:after="240"/>
        <w:rPr>
          <w:lang w:val="el" w:eastAsia="el"/>
        </w:rPr>
      </w:pPr>
      <w:r>
        <w:rPr>
          <w:lang w:val="el" w:eastAsia="el"/>
        </w:rPr>
        <w:t>Πληροφορίες:Ν. Ζωγραφάκης-Δ. Παπαγιάννης</w:t>
      </w:r>
    </w:p>
    <w:p>
      <w:pPr>
        <w:spacing w:before="240" w:after="240"/>
        <w:rPr>
          <w:lang w:val="el" w:eastAsia="el"/>
        </w:rPr>
      </w:pPr>
      <w:r>
        <w:rPr>
          <w:lang w:val="el" w:eastAsia="el"/>
        </w:rPr>
        <w:t>Τηλέφωνο : 210 – 3602480</w:t>
      </w:r>
    </w:p>
    <w:p>
      <w:pPr>
        <w:spacing w:before="240" w:after="240"/>
        <w:rPr>
          <w:lang w:val="el" w:eastAsia="el"/>
        </w:rPr>
      </w:pPr>
      <w:r>
        <w:rPr>
          <w:lang w:val="el" w:eastAsia="el"/>
        </w:rPr>
        <w:t>FAX : 210 – 3645413</w:t>
      </w:r>
    </w:p>
    <w:p>
      <w:pPr>
        <w:spacing w:before="240" w:after="240"/>
        <w:rPr>
          <w:lang w:val="el" w:eastAsia="el"/>
        </w:rPr>
      </w:pPr>
      <w:r>
        <w:rPr>
          <w:b/>
          <w:bCs/>
          <w:lang w:val="el" w:eastAsia="el"/>
        </w:rPr>
        <w:t>ΘΕΜΑ: Κοινοποίηση διατάξεων του άρθρου 65 του ν.4520/2018 (Α΄30).</w:t>
      </w:r>
    </w:p>
    <w:p>
      <w:pPr>
        <w:spacing w:before="240" w:after="240"/>
        <w:rPr>
          <w:lang w:val="el" w:eastAsia="el"/>
        </w:rPr>
      </w:pPr>
      <w:r>
        <w:rPr>
          <w:lang w:val="el" w:eastAsia="el"/>
        </w:rPr>
        <w:t>Σας κοινοποιούμε τις διατάξεις του άρθρου 65 του ν.4520/2018 (Α΄30), με τις οποίες προστίθεται νέα παράγραφος 5 στο άρθρο 30 του ν.4144/2013 (Α΄88), σχετικά με τη φορολογική μεταχείριση του επιδόματος εκπαίδευσης και επαγγελματικής κατάρτισης ανέργων.</w:t>
      </w:r>
    </w:p>
    <w:p>
      <w:pPr>
        <w:spacing w:before="240" w:after="240"/>
        <w:rPr>
          <w:lang w:val="el" w:eastAsia="el"/>
        </w:rPr>
      </w:pPr>
      <w:r>
        <w:rPr>
          <w:lang w:val="el" w:eastAsia="el"/>
        </w:rPr>
        <w:t>Ειδικότερα, με τις διατάξεις της νέας παρ.5 του άρθρου 30 του ν.4144/2013 ορίζεται ότι το επίδομα εκπαίδευσης ή επαγγελματικής κατάρτισης που καταβάλλεται σε ανέργους είναι αφορολόγητο, ανεκχώρητο και ακατάσχετο στα χέρια του Δημοσίου ή τρίτων, δεν δεσμεύεται και δεν συμψηφίζεται με βεβαιωμένα χρέη στη Φορολογική Διοίκηση, στο Δημόσιο, στα ασφαλιστικά ταμεία ή στα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Οι διατάξεις αυτές ισχύουν, σύμφωνα με την παρ.2 των κοινοποιούμενων διατάξεων, από 1.1.2018 και μετά.</w:t>
      </w:r>
    </w:p>
    <w:p>
      <w:pPr>
        <w:spacing w:before="240" w:after="240"/>
        <w:rPr>
          <w:lang w:val="el" w:eastAsia="el"/>
        </w:rPr>
      </w:pPr>
      <w:r>
        <w:rPr>
          <w:b/>
          <w:bCs/>
          <w:lang w:val="el" w:eastAsia="el"/>
        </w:rPr>
        <w:t>ΦΟΡΟΛΟΓΙΑ ΧΑΡΤΟΣΗΜΟΥ</w:t>
      </w:r>
    </w:p>
    <w:p>
      <w:pPr>
        <w:spacing w:before="240" w:after="240"/>
        <w:rPr>
          <w:lang w:val="el" w:eastAsia="el"/>
        </w:rPr>
      </w:pPr>
      <w:r>
        <w:rPr>
          <w:lang w:val="el" w:eastAsia="el"/>
        </w:rPr>
        <w:t>Βάσει της νέας διάταξης και της αιτιολογικής έκθεσης, το επίδομα εκπαίδευσης ή επαγγελματικής κατάρτισης του άρθρου 30 του ν.4144/2013 (Α΄88) που καταβάλλεται σε ανέργους απαλλάσσεται από κάθε φόρο, επομένως απαλλάσσεται και της επιβολής των τελών χαρτοσήμου.</w:t>
      </w:r>
    </w:p>
    <w:p>
      <w:pPr>
        <w:spacing w:before="240" w:after="240"/>
        <w:rPr>
          <w:lang w:val="el" w:eastAsia="el"/>
        </w:rPr>
      </w:pPr>
      <w:r>
        <w:rPr>
          <w:b/>
          <w:bCs/>
          <w:lang w:val="el" w:eastAsia="el"/>
        </w:rPr>
        <w:t>ΦΟΡΟΛΟΓΙΑ ΕΙΣΟΔΗΜΑΤΟΣ</w:t>
      </w:r>
    </w:p>
    <w:p>
      <w:pPr>
        <w:spacing w:before="240" w:after="240"/>
        <w:rPr>
          <w:lang w:val="el" w:eastAsia="el"/>
        </w:rPr>
      </w:pPr>
      <w:r>
        <w:rPr>
          <w:lang w:val="el" w:eastAsia="el"/>
        </w:rPr>
        <w:t>1. Με τις διατάξεις της παρ.3 του άρθρου 59 του ν.4172/2013 ορίζεται ότι εισόδημα που απαλλάσσεται από το φόρο δεν υπόκειται σε παρακράτηση.</w:t>
      </w:r>
    </w:p>
    <w:p>
      <w:pPr>
        <w:spacing w:before="240" w:after="240"/>
        <w:rPr>
          <w:lang w:val="el" w:eastAsia="el"/>
        </w:rPr>
      </w:pPr>
      <w:r>
        <w:rPr>
          <w:lang w:val="el" w:eastAsia="el"/>
        </w:rPr>
        <w:t>2. Επίσης, με την ΠΟΛ.1100/2018 εγκύκλιο, με την οποία κοινοποιήθηκε η αριθμ. 130/2017 γνωμοδότηση του ΝΣΚ (Α΄ Τακτική Ολομέλεια) που έγινε αποδεκτή από τον Διοικητή της ΑΑΔΕ, διευκρινίσθηκε ότι η ειδική εισφορά αλληλεγγύης του άρθρου 43Α του ΚΦΕ (ν.4172/2013), το οποίο προστέθηκε με το άρθρο 112 παρ.9 του ν.4387/2016, δεν αποτελεί φόρο επί του εισοδήματος. Όπως μάλιστα αναφέρεται στο σκεπτικό της γνωμοδότησης αυτής, η εν λόγω εισφορά, συνιστά φόρο, δεν έχει όμως ως αντικείμενο τα ως άνω εισοδήματα επί των οποίων επιβλήθηκε, τουτέστιν δεν αποτελεί φόρο επί του εισοδήματος, αλλά απλώς, τα εισοδήματα αυτά θεωρήθηκαν, κατά την εκτίμηση του νομοθέτη, ως τα πλέον ασφαλή στοιχεία διαγνώσεως της φοροδοτικής ικανότητας, στην οποία απέβλεψε, απετέλεσαν, δηλαδή, το κριτήριο και, συνακόλουθα, τη βάση επιβολής της εισφοράς, έτσι ώστε να επιβαρυνθούν με την εισφορά οι φορολογούμενοι σύμφωνα με την κατηγορία του εισοδήματος στην οποία ανήκουν.</w:t>
      </w:r>
    </w:p>
    <w:p>
      <w:pPr>
        <w:spacing w:before="240" w:after="240"/>
        <w:rPr>
          <w:lang w:val="el" w:eastAsia="el"/>
        </w:rPr>
      </w:pPr>
      <w:r>
        <w:rPr>
          <w:lang w:val="el" w:eastAsia="el"/>
        </w:rPr>
        <w:t>3. Ενόψει των ανωτέρω και δεδομένου ότι το εν λόγω επίδομα εκπαίδευσης ή επαγγελματικής κατάρτισης που καταβάλλεται σε ανέργους απαλλάσσεται από κάθε φόρο, συνάγεται ότι δεν υπόκειται σε παρακράτηση φόρου, και περαιτέρω απαλλάσσεται και της ειδικής εισφοράς αλληλεγγύης του άρθρου 43Α του ν.4172/2013.</w:t>
      </w:r>
    </w:p>
    <w:p>
      <w:pPr>
        <w:spacing w:before="240" w:after="240"/>
        <w:rPr>
          <w:lang w:val="el" w:eastAsia="el"/>
        </w:rPr>
      </w:pPr>
      <w:r>
        <w:rPr>
          <w:lang w:val="el" w:eastAsia="el"/>
        </w:rPr>
        <w:t>Ο ΔΙΟΙΚΗΤΗΣ ΤΗΣ ΑΝΕΞΑΡΤΗΤΗΣΑΡΧΗΣ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lang w:val="el" w:eastAsia="el"/>
        </w:rPr>
        <w:t>4. Υποθηκοφυλακείο Αθηνών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Α΄(αρ. 1 και 4)</w:t>
      </w:r>
    </w:p>
    <w:p>
      <w:pPr>
        <w:spacing w:before="240" w:after="240"/>
        <w:rPr>
          <w:lang w:val="el" w:eastAsia="el"/>
        </w:rPr>
      </w:pPr>
      <w:r>
        <w:rPr>
          <w:lang w:val="el" w:eastAsia="el"/>
        </w:rPr>
        <w:t>4. Αποδέκτες πίνακα Β΄(αρ. 3 και 3.1)</w:t>
      </w:r>
    </w:p>
    <w:p>
      <w:pPr>
        <w:spacing w:before="240" w:after="240"/>
        <w:rPr>
          <w:lang w:val="el" w:eastAsia="el"/>
        </w:rPr>
      </w:pPr>
      <w:r>
        <w:rPr>
          <w:lang w:val="el" w:eastAsia="el"/>
        </w:rPr>
        <w:t>5. Αποδέκτες πίνακα Ζ΄(αρ.5)</w:t>
      </w:r>
    </w:p>
    <w:p>
      <w:pPr>
        <w:spacing w:before="240" w:after="240"/>
        <w:rPr>
          <w:lang w:val="el" w:eastAsia="el"/>
        </w:rPr>
      </w:pPr>
      <w:r>
        <w:rPr>
          <w:lang w:val="el" w:eastAsia="el"/>
        </w:rPr>
        <w:t>6. Αποδέκτες πίνακα Θ΄</w:t>
      </w:r>
    </w:p>
    <w:p>
      <w:pPr>
        <w:spacing w:before="240" w:after="240"/>
        <w:rPr>
          <w:lang w:val="el" w:eastAsia="el"/>
        </w:rPr>
      </w:pPr>
      <w:r>
        <w:rPr>
          <w:lang w:val="el" w:eastAsia="el"/>
        </w:rPr>
        <w:t>7. Αποδέκτες πίνακα Ι΄</w:t>
      </w:r>
    </w:p>
    <w:p>
      <w:pPr>
        <w:spacing w:before="240" w:after="240"/>
        <w:rPr>
          <w:lang w:val="el" w:eastAsia="el"/>
        </w:rPr>
      </w:pPr>
      <w:r>
        <w:rPr>
          <w:lang w:val="el" w:eastAsia="el"/>
        </w:rPr>
        <w:t>8. Αποδέκτες πίνακα ΙΑ΄</w:t>
      </w:r>
    </w:p>
    <w:p>
      <w:pPr>
        <w:spacing w:before="240" w:after="240"/>
        <w:rPr>
          <w:lang w:val="el" w:eastAsia="el"/>
        </w:rPr>
      </w:pPr>
      <w:r>
        <w:rPr>
          <w:lang w:val="el" w:eastAsia="el"/>
        </w:rPr>
        <w:t>9. Αποδέκτες πίνακα ΙΒ΄(αρ.1)</w:t>
      </w:r>
    </w:p>
    <w:p>
      <w:pPr>
        <w:spacing w:before="240" w:after="240"/>
        <w:rPr>
          <w:lang w:val="el" w:eastAsia="el"/>
        </w:rPr>
      </w:pPr>
      <w:r>
        <w:rPr>
          <w:lang w:val="el" w:eastAsia="el"/>
        </w:rPr>
        <w:t>10.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