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291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Καρ.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10184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Ελ. Τσιγγάνου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210-3627090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210-3615052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d.eleg7@mofadm.gr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Ω00Ν46ΜΠ3Ζ-4ΙΝ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26 Σεπτεμβρίου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1183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 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Παροχή διευκρινίσεων αναφορικά με την αγορά και μεταπώληση λογισμικού.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προφορικά και γραπτά ερωτήματα που έχουν υποβληθεί στην υπηρεσία μας, αναφορικά με το εάν η μεταπώληση λογισμικού θεωρείται πώληση αγαθού ή παροχή υπηρεσίας μετά την 1.1.2015,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του άρθρου 38 του ν. 4308/2014 (Ε.Λ.Π.) από 1.1.2015 καταργείται η υποπαράγραφος Ε1 της παραγράφου Ε’ του ν. 4093/2012 (Κ.Φ.Α.Σ.), καθώς και κάθε διάταξη, ερμηνευτική εγκύκλιος ή οδηγία έχει εκδοθεί δυνάμει εκείνης της διάταξης ή του προϊσχύοντος π.δ. 186/1992.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Επίσης, από 1.1.2015 και μετά, αναφορικά με την παρακολούθηση της εφαρμογής και ερμηνείας των διατάξεων που αφορούν τους λογιστικούς κανόνες τήρησης των βιβλίων, όπως στην προκειμένη περίπτωση, αρμόδια είναι η Επιτροπή Λογιστικής Τυποποίησης και Ελέγχων (Ε.Λ.Τ.Ε.) και συγκεκριμένα το Συμβούλιο Λογιστικής Τυποποίηση (Σ.ΛΟ.Τ.). Το τελευταίο με βάση γνωμοδοτήσεις του, που εκδόθηκαν μετά την εφαρμογή των διατάξεων του ν. 4308/2014, έχει αποφανθεί ότι στις περιπτώσεις που το λογισμικό αποκτάται με σκοπό τη μεταπώλησή του, θεωρείται ως απόθεμα.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Λαμβάνοντας υπόψη τα προαναφερόμενα και με βάση το γεγονός ότι οι διατάξεις του ν. 4308/2014 από 1.1.2015 και εξής, εφαρμόζονται </w:t>
      </w:r>
      <w:r>
        <w:rPr>
          <w:b/>
          <w:bCs/>
          <w:lang w:val="el" w:eastAsia="el"/>
        </w:rPr>
        <w:t xml:space="preserve">ενιαία </w:t>
      </w:r>
      <w:r>
        <w:rPr>
          <w:lang w:val="el" w:eastAsia="el"/>
        </w:rPr>
        <w:t>για ζητήματα που χρήζουν λογιστικής ή φορολογικής αντιμετώπισης, η παροχή λογισμικού με σκοπό την μεταπώληση και από φορολογικής άποψης, θεωρείται ως απόθεμα.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Ι. </w:t>
      </w:r>
      <w:r>
        <w:rPr>
          <w:b/>
          <w:bCs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Ειδική Γραμματεία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Δ.ΥΠ.ΗΛ.Υ. (για ανάρτηση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ΙΙ. </w:t>
      </w: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Οικονομικό Επιμελητήριο Ελλάδας (Πίνακας ΙΒ΄)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Περιοδικό Φορολογική Επιθεώρηση (Πίνακας Ζ΄)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Π.Ο.Ε.-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Σύνδεσμος Επιχειρήσεων Πληροφορικής &amp; Επικοινωνιών Ελλάδας (Σ.Ε.Π.Ε.) (Πίνακας ΙΣΤ΄)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Τάτη Θεοφάνη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Σήστου 15, 18758 Κερατσίνι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Γενικών Δ/ντων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Εφαρμογής Άμεσης Φορολογίας- Τμήμα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7@mofadm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