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Κοινοποίηση των διατάξεων του άρθρου 46 του ν. 4569/2018 (ΦΕΚ Α΄179/11-10- 2018) σχετικά με την εκπροσώπηση του Ελληνικού Δημοσίου στις δίκες του ν. 3869/2010 (ρύθμιση οφειλών υπερχρεωμένων φυσικών προσώπων)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Σας κοινοποιούμε συνημμένα τις διατάξεις του άρθρου 46 του ν. 4569/2018 </w:t>
      </w:r>
      <w:r>
        <w:rPr>
          <w:i/>
          <w:iCs/>
          <w:lang w:val="el" w:eastAsia="el"/>
        </w:rPr>
        <w:t>(«I) Κεντρικά Αποθετήρια Τίτλων, II) Προσαρμογή της Ελληνικής Νομοθεσίας στις διατάξεις της Οδηγίας (ΕΕ) 2016/2258 και άλλες διατάξεις και III) Λοιπές διατάξεις»</w:t>
      </w:r>
      <w:r>
        <w:rPr>
          <w:lang w:val="el" w:eastAsia="el"/>
        </w:rPr>
        <w:t xml:space="preserve">, ΦΕΚ Α΄ 179/11-10-2018), με το οποίο προστέθηκε νέα παράγραφος 6 στο άρθρο 20 του ν. 3086/2002 </w:t>
      </w:r>
      <w:r>
        <w:rPr>
          <w:i/>
          <w:iCs/>
          <w:lang w:val="el" w:eastAsia="el"/>
        </w:rPr>
        <w:t>(«Οργανισμός Νομικού Συμβουλίου του Κράτους και κατάσταση των Λειτουργών και των Υπαλλήλων του»</w:t>
      </w:r>
      <w:r>
        <w:rPr>
          <w:lang w:val="el" w:eastAsia="el"/>
        </w:rPr>
        <w:t>), μετά την αναρίθμηση της προϋφιστάμενης παραγράφου 6 του ανωτέρω άρθρου σε 7.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Με τις νέες διατάξεις </w:t>
      </w:r>
      <w:r>
        <w:rPr>
          <w:b/>
          <w:bCs/>
          <w:lang w:val="el" w:eastAsia="el"/>
        </w:rPr>
        <w:t xml:space="preserve">μεταβάλλεται ο τρόπος εκπροσώπησης του Ελληνικού Δημοσίου, ως πιστωτή, στις δίκες του ν. 3869/2010 (Α΄ 130 </w:t>
      </w:r>
      <w:r>
        <w:rPr>
          <w:b/>
          <w:bCs/>
          <w:i/>
          <w:iCs/>
          <w:lang w:val="el" w:eastAsia="el"/>
        </w:rPr>
        <w:t>«Ρύθμιση των οφειλών υπερχρεωμένων φυσικών προσώπων και άλλες διατάξεις»</w:t>
      </w:r>
      <w:r>
        <w:rPr>
          <w:b/>
          <w:bCs/>
          <w:lang w:val="el" w:eastAsia="el"/>
        </w:rPr>
        <w:t xml:space="preserve">), καθώς προβλέπεται πλέον η </w:t>
      </w:r>
      <w:r>
        <w:rPr>
          <w:b/>
          <w:bCs/>
          <w:u w:val="single"/>
          <w:lang w:val="el" w:eastAsia="el"/>
        </w:rPr>
        <w:t>εκπροσώπηση</w:t>
      </w:r>
      <w:r>
        <w:rPr>
          <w:b/>
          <w:bCs/>
          <w:lang w:val="el" w:eastAsia="el"/>
        </w:rPr>
        <w:t xml:space="preserve"> αυτού κατά την εκδίκαση των σχετικών αιτήσεων σε πρώτο βαθμό και κατά τη διαδικασία του προδικαστικού συμβιβασμού ή της προσωρινής ρύθμισης των άρθρων 5, 5</w:t>
      </w:r>
      <w:r>
        <w:rPr>
          <w:b/>
          <w:bCs/>
          <w:sz w:val="30"/>
          <w:szCs w:val="30"/>
          <w:vertAlign w:val="superscript"/>
          <w:lang w:val="el" w:eastAsia="el"/>
        </w:rPr>
        <w:t>α</w:t>
      </w:r>
      <w:r>
        <w:rPr>
          <w:b/>
          <w:bCs/>
          <w:lang w:val="el" w:eastAsia="el"/>
        </w:rPr>
        <w:t xml:space="preserve">, 6 και 7 του ν. 3869/2010 </w:t>
      </w:r>
      <w:r>
        <w:rPr>
          <w:b/>
          <w:bCs/>
          <w:u w:val="single"/>
          <w:lang w:val="el" w:eastAsia="el"/>
        </w:rPr>
        <w:t>από τον «Προϊστάμενο της αρμόδιας για την επιδίωξη της είσπραξης των οφειλών</w:t>
      </w:r>
      <w:r>
        <w:rPr>
          <w:b/>
          <w:bCs/>
          <w:u w:val="single"/>
          <w:lang w:val="el" w:eastAsia="el"/>
        </w:rPr>
        <w:t>του αιτούντα Υπηρεσίας της Φορολογικής Διοίκησης»,</w:t>
      </w:r>
      <w:r>
        <w:rPr>
          <w:b/>
          <w:bCs/>
          <w:lang w:val="el" w:eastAsia="el"/>
        </w:rPr>
        <w:t xml:space="preserve"> ο οποίος παρίσταται ενώπιον του δικαστηρίου σε όλα τα στάδια της διαδικασίας (στον πρώτο βαθμό) </w:t>
      </w:r>
      <w:r>
        <w:rPr>
          <w:b/>
          <w:bCs/>
          <w:u w:val="single"/>
          <w:lang w:val="el" w:eastAsia="el"/>
        </w:rPr>
        <w:t xml:space="preserve">με γραπτή δήλωσή του </w:t>
      </w:r>
      <w:r>
        <w:rPr>
          <w:b/>
          <w:bCs/>
          <w:lang w:val="el" w:eastAsia="el"/>
        </w:rPr>
        <w:t>που αποστέλλεται με το φάκελο των απόψεων της Υπηρεσίας στη Γραμματεία του δικαστηρίου.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Σύμφωνα με τη μεταβατική διάταξη του τελευταίου εδαφίου του κοινοποιούμενου άρθρου, οι νέες ρυθμίσεις </w:t>
      </w:r>
      <w:r>
        <w:rPr>
          <w:b/>
          <w:bCs/>
          <w:i/>
          <w:iCs/>
          <w:lang w:val="el" w:eastAsia="el"/>
        </w:rPr>
        <w:t xml:space="preserve">«εφαρμόζονται σε </w:t>
      </w:r>
      <w:r>
        <w:rPr>
          <w:b/>
          <w:bCs/>
          <w:i/>
          <w:iCs/>
          <w:lang w:val="el" w:eastAsia="el"/>
        </w:rPr>
        <w:t>υποθέσεις αιτήσεων που κατατίθενται μετά τη δημοσίευση του παρόντος νόμου στην Εφημερίδα της Κυβερνήσεως</w:t>
      </w:r>
      <w:r>
        <w:rPr>
          <w:b/>
          <w:bCs/>
          <w:lang w:val="el" w:eastAsia="el"/>
        </w:rPr>
        <w:t xml:space="preserve"> (ήτοι μετά την 11</w:t>
      </w:r>
      <w:r>
        <w:rPr>
          <w:b/>
          <w:bCs/>
          <w:sz w:val="30"/>
          <w:szCs w:val="30"/>
          <w:vertAlign w:val="superscript"/>
          <w:lang w:val="el" w:eastAsia="el"/>
        </w:rPr>
        <w:t>η</w:t>
      </w:r>
      <w:r>
        <w:rPr>
          <w:b/>
          <w:bCs/>
          <w:lang w:val="el" w:eastAsia="el"/>
        </w:rPr>
        <w:t xml:space="preserve">/10/2018) </w:t>
      </w:r>
      <w:r>
        <w:rPr>
          <w:b/>
          <w:bCs/>
          <w:i/>
          <w:iCs/>
          <w:lang w:val="el" w:eastAsia="el"/>
        </w:rPr>
        <w:t xml:space="preserve">και εφεξής, καθώς και σε αιτήσεις η εκδίκαση των </w:t>
      </w:r>
      <w:r>
        <w:rPr>
          <w:b/>
          <w:bCs/>
          <w:i/>
          <w:iCs/>
          <w:lang w:val="el" w:eastAsia="el"/>
        </w:rPr>
        <w:t>οποίων έχει προσδιοριστεί μετά δίμηνο τουλάχιστον από την ημερομηνία αυτή».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Συν: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Απόσπασμα του ΦΕΚ Α΄ 179/11-10-2018: διατάξεις των άρθρων 46 και 53 του ν. 4569/2018 : 3 σελίδες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Με εντολή Διοικητή Η Προϊσταμένη της Διεύθυνσης ΕΥΑΝΘΙΑ ΧΑΤΖΗΠΑΝΑΓΙΩΤΟΥ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Α. ΑΠΟΔΕΚΤΕΣ ΠΡΟΣ ΕΝΕΡΓΕΙΑ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 Αποδέκτες Πίνακα Γ’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Διεύθυνση Υποστήριξης Ηλεκτρονικών Υπηρεσιών (με την παράκληση να αναρτηθεί στην ιστοσελίδα της ΑΑΔΕ, ύστερα από επικοινωνία και συνεννόηση με το Αυτοτελές Τμήμα Συντονισμού Μεταρρυθμιστικών Δράσεων και Επικοινωνίας)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Αυτοτελές Τμήμα Συντονισμού Μεταρρυθμιστικών Δράσεων και Επικοινωνίας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4. Ηλεκτρονική Βιβλιοθήκη ΑΑΔΕ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Β. ΑΠΟΔΕΚΤΕΣ ΠΡΟΣ ΚΟΙΝΟΠΟΙΗΣΗ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 Αποδέκτες Πίνακα Α΄ (πλην των αποδεκτών προς ενέργεια)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Γενική Διεύθυνση Τελωνείων και Ειδικών Φόρων Κατανάλωσης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Αποδέκτες Πίνακα Δ΄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4. Κεντρική Υπηρεσία του Νομικού Συμβουλίου του Κράτους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Γ. ΕΣΩΤΕΡΙΚΗ ΔΙΑΝΟΜΗ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 Γραφείο Διοικητή Ανεξάρτητης Αρχής Δημοσίων Εσόδων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Γραφείο Προϊσταμένου Γενικής Διεύθυνσης Φορολογικής Διοίκησης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Διεύθυνση Νομικής Υποστήριξης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4. Διεύθυνση Εισπράξεων – Τμήματα Α,Β,Γ,Δ,Ε, Γραμματεία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