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 Γ. Μπάρλας</w:t>
      </w:r>
    </w:p>
    <w:p>
      <w:pPr>
        <w:spacing w:before="240" w:after="240"/>
        <w:rPr>
          <w:lang w:val="el" w:eastAsia="el"/>
        </w:rPr>
      </w:pPr>
      <w:r>
        <w:rPr>
          <w:lang w:val="el" w:eastAsia="el"/>
        </w:rPr>
        <w:t>210 3375314-316 210 3375001</w:t>
      </w:r>
    </w:p>
    <w:p>
      <w:pPr>
        <w:spacing w:before="240" w:after="240"/>
        <w:rPr>
          <w:lang w:val="el" w:eastAsia="el"/>
        </w:rPr>
      </w:pPr>
      <w:hyperlink r:id="rId4" w:history="1">
        <w:r>
          <w:rPr>
            <w:rStyle w:val="Hyperlink"/>
            <w:color w:val="0000EE"/>
            <w:u w:color="0000EE"/>
            <w:lang w:val="el" w:eastAsia="el"/>
          </w:rPr>
          <w:t>d12.a@yo.syzefxis.gov.gr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w:t>
      </w:r>
      <w:r>
        <w:rPr>
          <w:i/>
          <w:iCs/>
          <w:lang w:val="el" w:eastAsia="el"/>
        </w:rPr>
        <w:t>:</w:t>
      </w:r>
      <w:r>
        <w:rPr>
          <w:b/>
          <w:bCs/>
          <w:lang w:val="el" w:eastAsia="el"/>
        </w:rPr>
        <w:t xml:space="preserve"> Διευκρινήσεις σχετικά με την εφαρμογή των διατάξεων της παρ. 2 του άρθρου 29 του ν. 4172/2013 για τους </w:t>
      </w:r>
      <w:r>
        <w:rPr>
          <w:b/>
          <w:bCs/>
          <w:i/>
          <w:iCs/>
          <w:lang w:val="el" w:eastAsia="el"/>
        </w:rPr>
        <w:t>ασκούντες αγροτική επιχειρηματική δραστηριότητα.</w:t>
      </w:r>
    </w:p>
    <w:p>
      <w:pPr>
        <w:spacing w:before="240" w:after="240"/>
        <w:rPr>
          <w:lang w:val="el" w:eastAsia="el"/>
        </w:rPr>
      </w:pPr>
      <w:r>
        <w:rPr>
          <w:lang w:val="el" w:eastAsia="el"/>
        </w:rPr>
        <w:t>Με αφορμή προφορικά και γραπτά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παρ. 2 του άρθρου 29 του ν.4172/2013,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spacing w:before="240" w:after="240"/>
        <w:rPr>
          <w:lang w:val="el" w:eastAsia="el"/>
        </w:rPr>
      </w:pPr>
      <w:r>
        <w:rPr>
          <w:lang w:val="el" w:eastAsia="el"/>
        </w:rPr>
        <w:t>2. Με την ΠΟΛ 1068/2018 απόφαση του Διοικητή ορίζεται ότι κατ΄ εφαρμογή της παρ. 2 του άρθρου 29 του ν.4172/2013 και για το φορολογικό έτος 2017 τα φυσικά πρόσωπα με πρώτη δήλωση έναρξης δραστηριότητας από 1η Ιανουαρίου 2015 και μετά, κατά τα τρία (3) πρώτα έτη άσκησης της δραστηριότητάς τους, έχουν τη μείωση του φορολογικού συντελεστή του πρώτου κλιμακίου του άρθρου 15 κατά πενήντα τοις εκατό (50%) εφόσον αθροιστικά τα ακαθάριστα έσοδα από επιχειρηματική και αγροτική επιχειρηματική δραστηριότητα δεν υπερβαίνουν τις δέκα χιλιάδες (10.000) ευρώ.</w:t>
      </w:r>
    </w:p>
    <w:p>
      <w:pPr>
        <w:spacing w:before="240" w:after="240"/>
        <w:rPr>
          <w:lang w:val="el" w:eastAsia="el"/>
        </w:rPr>
      </w:pPr>
      <w:r>
        <w:rPr>
          <w:lang w:val="el" w:eastAsia="el"/>
        </w:rPr>
        <w:t>3. Με τις διατάξεις της παρ. 1 του άρθρου 21 του ν.4172/2013 ορίζεται ότι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w:t>
      </w:r>
    </w:p>
    <w:p>
      <w:pPr>
        <w:spacing w:before="240" w:after="240"/>
        <w:rPr>
          <w:lang w:val="el" w:eastAsia="el"/>
        </w:rPr>
      </w:pPr>
      <w:r>
        <w:rPr>
          <w:lang w:val="el" w:eastAsia="el"/>
        </w:rPr>
        <w:t>4. Επίσης, με την ΠΟΛ 1116/2015 εγκύκλιο διευκρινίστηκε ότι για όσους ασκούν αγροτική επιχειρηματική δραστηριότητα, είναι απαραίτητη η συμπλήρωση του εντύπου Ε3 ανεξάρτητα από το αν υπάρχει απαλλαγή ή όχι από την τήρηση βιβλίων του ΚΦΑΣ και την ένταξή τους ή όχι στο ειδικό ή στο κανονικό καθεστώς Φ.Π.Α.</w:t>
      </w:r>
    </w:p>
    <w:p>
      <w:pPr>
        <w:spacing w:before="240" w:after="240"/>
        <w:rPr>
          <w:lang w:val="el" w:eastAsia="el"/>
        </w:rPr>
      </w:pPr>
      <w:r>
        <w:rPr>
          <w:lang w:val="el" w:eastAsia="el"/>
        </w:rPr>
        <w:t>5. Λαμβάνοντας υπόψη τα ανωτέρω και δεδομένου ότι ο όρος «επιτήδευμα» δεν αναφέρεται στον ν.4172/2013 (παρά μόνο για τις ανάγκες επιβολής του τέλους επιτηδεύματος του ν. 3986/2011) διευκρινίζεται ότι για τους ασκούντες ατομική αγροτική επιχειρηματική δραστηριότητα, οι υποχρεώσεις δήλωσης φόρου εισοδήματος (πάντα μέσω Ε3) είναι οι ίδιες ανεξάρτητα από το αν υπάρχει απαλλαγή ή όχι από την τήρηση βιβλίων του ΚΦΑΣ και την ένταξή τους στα καθεστώτα του ΦΠΑ. Επομένως, και η παράγραφος 2 του άρθρου 29 του ν.4172/2013 έχει εφαρμογή για όποιον ασκεί ατομική αγροτική επιχειρηματική δραστηριότητα, ανεξάρτητα από το αν υπάρχει απαλλαγή ή όχι από την τήρηση βιβλίων του ΚΦΑΣ και την ένταξή του στα καθεστώτα του ΦΠΑ. Η εν λόγω μείωση εφαρμόζεται για το πρώτο έτος που δηλώνεται εισόδημα από αγροτική επιχειρηματική δραστηριότητα μέσω Ε3 και για τα δύο (2) επόμενα έτη για τα οποία δηλώνεται εισόδημα σύμφωνα με τα αναφερόμενα στην δεύτερη παράγραφο του παρόντος.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πινάκα Γ΄</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Αποδέκτες πινάκων</w:t>
      </w:r>
    </w:p>
    <w:p>
      <w:pPr>
        <w:spacing w:before="240" w:after="240"/>
        <w:rPr>
          <w:lang w:val="el" w:eastAsia="el"/>
        </w:rPr>
      </w:pPr>
      <w:r>
        <w:rPr>
          <w:lang w:val="el" w:eastAsia="el"/>
        </w:rPr>
        <w:t>Α΄(εκτός των αριθμών 2 και 3 αυτού),</w:t>
      </w:r>
    </w:p>
    <w:p>
      <w:pPr>
        <w:spacing w:before="240" w:after="240"/>
        <w:rPr>
          <w:lang w:val="el" w:eastAsia="el"/>
        </w:rPr>
      </w:pPr>
      <w:r>
        <w:rPr>
          <w:lang w:val="el" w:eastAsia="el"/>
        </w:rPr>
        <w:t>Β΄(εκτός των αριθμών 1 και 2 αυτού),</w:t>
      </w:r>
    </w:p>
    <w:p>
      <w:pPr>
        <w:spacing w:before="240" w:after="240"/>
        <w:rPr>
          <w:lang w:val="el" w:eastAsia="el"/>
        </w:rPr>
      </w:pPr>
      <w:r>
        <w:rPr>
          <w:lang w:val="el" w:eastAsia="el"/>
        </w:rPr>
        <w:t>Ζ΄(εκτός των αριθμών 2 και 3 αυτού),</w:t>
      </w:r>
    </w:p>
    <w:p>
      <w:pPr>
        <w:spacing w:before="240" w:after="240"/>
        <w:rPr>
          <w:lang w:val="el" w:eastAsia="el"/>
        </w:rPr>
      </w:pPr>
      <w:r>
        <w:rPr>
          <w:lang w:val="el" w:eastAsia="el"/>
        </w:rPr>
        <w:t>Η΄(εκτός των αριθμών 4, 10 και 11 αυτού),</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lang w:val="el" w:eastAsia="el"/>
        </w:rPr>
        <w:t>5. Υπουργείο Αγροτικής Ανάπτυξης και Τροφίμων – Γενική Γραμματεία ΥΠΑΑΝ</w:t>
      </w:r>
    </w:p>
    <w:p>
      <w:pPr>
        <w:spacing w:before="240" w:after="240"/>
        <w:rPr>
          <w:lang w:val="el" w:eastAsia="el"/>
        </w:rPr>
      </w:pPr>
      <w:r>
        <w:rPr>
          <w:lang w:val="el" w:eastAsia="el"/>
        </w:rPr>
        <w:t>6. Υπουργείο Αγροτικής Ανάπτυξης και Τροφίμων – Γενική Γραμματεία Αγροτικής Πολιτικής &amp; Διαχείρισης Κοινοτικών Πόρων</w:t>
      </w:r>
    </w:p>
    <w:p>
      <w:pPr>
        <w:spacing w:before="240" w:after="240"/>
        <w:rPr>
          <w:lang w:val="el" w:eastAsia="el"/>
        </w:rPr>
      </w:pPr>
      <w:r>
        <w:rPr>
          <w:lang w:val="el" w:eastAsia="el"/>
        </w:rPr>
        <w:t>7. Υπουργείο Αγροτικής Ανάπτυξης και Τροφίμων – Δ/νση Οικονομικών Ελέγχων και Επιθεώρησης, Μενάνδρου 22, Τ.Κ. 105 52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