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ΦΟΡΟΛΟΓΙΚΗΣ ΔΙΟΙΚΗΣΗΣ ΔΙΕΥΘΥΝΣΗ ΕΦΑΡΜΟΓΗΣ ΕΜΜΕΣΗΣ ΦΟΡ. ΤΜΗΜΑ Β’ ΤΕΛΩΝ ΚΑΙ ΕΙΔΙΚΩΝ ΦΟΡ.</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Σίνα 2- 4</w:t>
      </w:r>
    </w:p>
    <w:p>
      <w:pPr>
        <w:spacing w:before="240" w:after="240"/>
        <w:rPr>
          <w:lang w:val="el" w:eastAsia="el"/>
        </w:rPr>
      </w:pPr>
      <w:r>
        <w:rPr>
          <w:lang w:val="el" w:eastAsia="el"/>
        </w:rPr>
        <w:t>106 72 ΑΘΗΝΑ</w:t>
      </w:r>
    </w:p>
    <w:p>
      <w:pPr>
        <w:spacing w:before="240" w:after="240"/>
        <w:rPr>
          <w:lang w:val="el" w:eastAsia="el"/>
        </w:rPr>
      </w:pPr>
      <w:r>
        <w:rPr>
          <w:lang w:val="el" w:eastAsia="el"/>
        </w:rPr>
        <w:t>231-212-2400</w:t>
      </w:r>
    </w:p>
    <w:p>
      <w:pPr>
        <w:spacing w:before="240" w:after="240"/>
        <w:rPr>
          <w:lang w:val="el" w:eastAsia="el"/>
        </w:rPr>
      </w:pPr>
      <w:r>
        <w:rPr>
          <w:lang w:val="el" w:eastAsia="el"/>
        </w:rPr>
        <w:t>210-3645413</w:t>
      </w:r>
    </w:p>
    <w:p>
      <w:pPr>
        <w:spacing w:before="240" w:after="240"/>
        <w:rPr>
          <w:lang w:val="el" w:eastAsia="el"/>
        </w:rPr>
      </w:pPr>
      <w:r>
        <w:rPr>
          <w:b/>
          <w:bCs/>
          <w:lang w:val="el" w:eastAsia="el"/>
        </w:rPr>
        <w:t>ΘΕΜΑ: Φορολογική αντιμετώπιση της έκδοσης μετοχών υπέρ το άρτιο από πλευράς φόρου συγκέντρωσης κεφαλαίων – Συμμόρφωση με ΣτΕ 1774/2018.</w:t>
      </w:r>
    </w:p>
    <w:p>
      <w:pPr>
        <w:spacing w:before="240" w:after="240"/>
        <w:rPr>
          <w:lang w:val="el" w:eastAsia="el"/>
        </w:rPr>
      </w:pPr>
      <w:r>
        <w:rPr>
          <w:lang w:val="el" w:eastAsia="el"/>
        </w:rPr>
        <w:t>Με την υπ΄ αριθ. 3015/2009 απόφαση του Συμβουλίου της Επικρατείας κρίθηκε ότι σε περίπτωση έκδοσης μετοχών υπέρ το άρτιο, ο εισφέρων περιουσιακά στοιχεία δεν αποκτά κατά την στιγμή της καταβολής, δικαιώματα ίδιας φύσης με εκείνα που έχουν οι εταίροι (δικαιώματα στα κέρδη, δικαιώματα ψήφου, κλπ) και επομένως δεν πληρούνται, κατά την στιγμή της καταβολής, οι προϋποθέσεις της περίπτωσης γ’ της παρ. 1 του άρθρου 18 του ν. 1676/1986 για την επιβολή φόρου συγκέντρωσης κεφαλαίου.</w:t>
      </w:r>
    </w:p>
    <w:p>
      <w:pPr>
        <w:spacing w:before="240" w:after="240"/>
        <w:rPr>
          <w:lang w:val="el" w:eastAsia="el"/>
        </w:rPr>
      </w:pPr>
      <w:r>
        <w:rPr>
          <w:lang w:val="el" w:eastAsia="el"/>
        </w:rPr>
        <w:t>Επομένως, η φορολογική υποχρέωση γεννιέται την στιγμή της καταβολής μόνο για την ονομαστική αξία των μετοχών, ενώ για το μέρος που αφορά την υπέρ το άρτιο διαφορά, η φορολογική υποχρέωση γεννιέται από την στιγμή της κεφαλαιοποίησης της διαφοράς αυτής. Η πρόσφατη ΣτΕ 1774/2018 με την οποία η ασκηθείσα αναίρεση απορρίφθηκε ως απαράδεκτη, επικύρωσε την ανωτέρω κρίση της υπ΄ αριθ. ΣτΕ 3015/2009.</w:t>
      </w:r>
    </w:p>
    <w:p>
      <w:pPr>
        <w:spacing w:before="240" w:after="240"/>
        <w:rPr>
          <w:lang w:val="el" w:eastAsia="el"/>
        </w:rPr>
      </w:pPr>
      <w:r>
        <w:rPr>
          <w:lang w:val="el" w:eastAsia="el"/>
        </w:rPr>
        <w:t>Κατόπιν των ανωτέρω, η ΠΟΛ 1044/2014 με την οποία κοινοποιήθηκε η ΓνωμΝΣΚ 113/2009, παύει να ισχύει.</w:t>
      </w:r>
    </w:p>
    <w:p>
      <w:pPr>
        <w:spacing w:before="240" w:after="240"/>
        <w:rPr>
          <w:lang w:val="el" w:eastAsia="el"/>
        </w:rPr>
      </w:pPr>
      <w:r>
        <w:rPr>
          <w:b/>
          <w:bCs/>
          <w:lang w:val="el" w:eastAsia="el"/>
        </w:rPr>
        <w:t>Ο ΔΙΟΙΚΗΤΗΣ ΤΗΣΑΝΕΞΑΡΤΗΤΗΣ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Υποστήριξης Ηλεκτρονικών Υπηρεσιών για ανάρτηση στην ιστοσελίδα της ΑΑΔΕ.</w:t>
      </w:r>
    </w:p>
    <w:p>
      <w:pPr>
        <w:spacing w:before="240" w:after="240"/>
        <w:rPr>
          <w:lang w:val="el" w:eastAsia="el"/>
        </w:rPr>
      </w:pPr>
      <w:r>
        <w:rPr>
          <w:lang w:val="el" w:eastAsia="el"/>
        </w:rPr>
        <w:t>3. Υποθηκοφυλακείο Αθηνών</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αρ. 1 και 4</w:t>
      </w:r>
    </w:p>
    <w:p>
      <w:pPr>
        <w:spacing w:before="240" w:after="240"/>
        <w:rPr>
          <w:lang w:val="el" w:eastAsia="el"/>
        </w:rPr>
      </w:pPr>
      <w:r>
        <w:rPr>
          <w:lang w:val="el" w:eastAsia="el"/>
        </w:rPr>
        <w:t>2. Αποδέκτες Πίνακα Β΄ αρ. 3 και 3.1</w:t>
      </w:r>
    </w:p>
    <w:p>
      <w:pPr>
        <w:spacing w:before="240" w:after="240"/>
        <w:rPr>
          <w:lang w:val="el" w:eastAsia="el"/>
        </w:rPr>
      </w:pPr>
      <w:r>
        <w:rPr>
          <w:lang w:val="el" w:eastAsia="el"/>
        </w:rPr>
        <w:t>3. Αποδέκτες Πίνακα Ζ΄ αρ. 5</w:t>
      </w:r>
    </w:p>
    <w:p>
      <w:pPr>
        <w:spacing w:before="240" w:after="240"/>
        <w:rPr>
          <w:lang w:val="el" w:eastAsia="el"/>
        </w:rPr>
      </w:pPr>
      <w:r>
        <w:rPr>
          <w:lang w:val="el" w:eastAsia="el"/>
        </w:rPr>
        <w:t>3. Αποδέκτες Πίνακα Θ΄</w:t>
      </w:r>
    </w:p>
    <w:p>
      <w:pPr>
        <w:spacing w:before="240" w:after="240"/>
        <w:rPr>
          <w:lang w:val="el" w:eastAsia="el"/>
        </w:rPr>
      </w:pPr>
      <w:r>
        <w:rPr>
          <w:lang w:val="el" w:eastAsia="el"/>
        </w:rPr>
        <w:t>4. Αποδέκτες Πίνακα Ι’</w:t>
      </w:r>
    </w:p>
    <w:p>
      <w:pPr>
        <w:spacing w:before="240" w:after="240"/>
        <w:rPr>
          <w:lang w:val="el" w:eastAsia="el"/>
        </w:rPr>
      </w:pPr>
      <w:r>
        <w:rPr>
          <w:lang w:val="el" w:eastAsia="el"/>
        </w:rPr>
        <w:t>5. Αποδέκτες Πίνακα ΙΑ΄</w:t>
      </w:r>
    </w:p>
    <w:p>
      <w:pPr>
        <w:spacing w:before="240" w:after="240"/>
        <w:rPr>
          <w:lang w:val="el" w:eastAsia="el"/>
        </w:rPr>
      </w:pPr>
      <w:r>
        <w:rPr>
          <w:lang w:val="el" w:eastAsia="el"/>
        </w:rPr>
        <w:t>6. Αποδέκτες Πίνακα ΙΒ΄ αρ. 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Ηλεκτρονικής Διακυβέρνησης</w:t>
      </w:r>
    </w:p>
    <w:p>
      <w:pPr>
        <w:spacing w:before="240" w:after="240"/>
        <w:rPr>
          <w:lang w:val="el" w:eastAsia="el"/>
        </w:rPr>
      </w:pPr>
      <w:r>
        <w:rPr>
          <w:lang w:val="el" w:eastAsia="el"/>
        </w:rPr>
        <w:t>5.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