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PreambelText"/>
        <w:spacing w:before="240" w:after="240"/>
        <w:rPr>
          <w:lang w:val="el" w:eastAsia="el"/>
        </w:rPr>
      </w:pPr>
      <w:r>
        <w:rPr>
          <w:b/>
          <w:bCs/>
          <w:lang w:val="el" w:eastAsia="el"/>
        </w:rPr>
        <w:t>TMHMATA Α΄, Β΄</w:t>
      </w:r>
    </w:p>
    <w:p>
      <w:pPr>
        <w:pStyle w:val="PreambelText"/>
        <w:spacing w:before="240" w:after="240"/>
        <w:rPr>
          <w:lang w:val="el" w:eastAsia="el"/>
        </w:rPr>
      </w:pPr>
      <w:r>
        <w:rPr>
          <w:lang w:val="el" w:eastAsia="el"/>
        </w:rPr>
        <w:t xml:space="preserve">Καρ. Σερβίας 8 10184 Αθήνα 210 3375872 210 3375878 </w:t>
      </w:r>
      <w:hyperlink r:id="rId4" w:history="1">
        <w:r>
          <w:rPr>
            <w:rStyle w:val="Hyperlink"/>
            <w:color w:val="0000EE"/>
            <w:u w:color="0000EE"/>
            <w:lang w:val="el" w:eastAsia="el"/>
          </w:rPr>
          <w:t>def.a@aade.gr</w:t>
        </w:r>
      </w:hyperlink>
      <w:hyperlink r:id="rId5" w:history="1">
        <w:r>
          <w:rPr>
            <w:rStyle w:val="Hyperlink"/>
            <w:color w:val="0000EE"/>
            <w:u w:color="0000EE"/>
            <w:lang w:val="el" w:eastAsia="el"/>
          </w:rPr>
          <w:t>def.b@aade.gr</w:t>
        </w:r>
      </w:hyperlink>
      <w:hyperlink r:id="rId6"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Κοινοποίηση των διατάξεων των άρθρων 55, 60, 61 και 70 του ν.4583/2018 (Φ.Ε.Κ. 212 Α΄/ 18-12-2018) για θέματα φορολογίας κεφαλαίου.</w:t>
      </w:r>
    </w:p>
    <w:p>
      <w:pPr>
        <w:pStyle w:val="PreambelText"/>
        <w:spacing w:before="240" w:after="240"/>
        <w:rPr>
          <w:lang w:val="el" w:eastAsia="el"/>
        </w:rPr>
      </w:pPr>
      <w:r>
        <w:rPr>
          <w:lang w:val="el" w:eastAsia="el"/>
        </w:rPr>
        <w:t>Σας κοινοποιούμε συνημμένα τις διατάξεις των άρθρων 55, 60, 61 και 70 του Τρίτου Μέρους του ν. 4583/2018 με τίτλο «Κατάργηση των διατάξεων περί μείωσης των συντάξεων, ενσωμάτωση στην Ελληνική Νομοθεσία της Οδηγίας 2016/97/ΕΕ του Ευρωπαϊκού Κοινοβουλίου και του Συμβουλίου της 20ής Ιανουαρίου 2016 σχετικά με τη διανομή ασφαλιστικών προϊόντων και άλλες διατάξεις», με τις οποίες επήλθαν οι πιο κάτω τροποποιήσεις σε θέματα των φορολογιών κεφαλαίου: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Τροποποίηση του άρθρου 54Α του Κώδικα Φορολογικής Διαδικασίας</w:t>
      </w:r>
    </w:p>
    <w:p>
      <w:pPr>
        <w:spacing w:before="240" w:after="240"/>
        <w:rPr>
          <w:lang w:val="el" w:eastAsia="el"/>
        </w:rPr>
      </w:pPr>
      <w:r>
        <w:rPr>
          <w:lang w:val="el" w:eastAsia="el"/>
        </w:rPr>
        <w:t>Με τις διατάξεις του άρθρου αυτού τροποποιείται η παράγραφος 6 του άρθρου 54 Α του ν.4174/2013, αποκλειστικά για νομοτεχνική βελτίωση της προϊσχύσασας διάταξης, ώστε να γίνεται σαφής η βούληση του νομοθέτη ως προς την επιβολή προστίμου σε όλες τις περιπτώσεις στις οποίες δεν έχουν τηρηθεί τα προβλεπόμενα στο άρθρο 54 Α του ΚΦΔ για το πιστοποιητικό ΕΝ.Φ.Ι.Α..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των άρθρων 85, 88 και 89 του Κώδικα Διατάξεων Φορολογίας Κληρονομιών, Δωρε-ών, Γονικών Παροχών, Προικών και Κερδών από Τυχερά Παίγνια</w:t>
      </w:r>
    </w:p>
    <w:p>
      <w:pPr>
        <w:spacing w:before="240" w:after="240"/>
        <w:rPr>
          <w:lang w:val="el" w:eastAsia="el"/>
        </w:rPr>
      </w:pPr>
      <w:r>
        <w:rPr>
          <w:lang w:val="el" w:eastAsia="el"/>
        </w:rPr>
        <w:t>Με τις διατάξεις του άρθρου αυτού τροποποιούνται οι διατάξεις των άρθρων 85, 88 και 89 του Κώδικα Διατάξεων Φορολογίας Κληρονομιών, Δωρεών, Γονικών Παροχών, Προικών και Κερδών από Τυχερά Παίγνια, οι οποίες αφορούν την υποβολή των δηλώσεων φόρου δωρεών και γονικών παροχών λόγω της επικείμενης υλοποίησης της μηχανογραφικής εφαρμογής για την ηλεκτρονική υποβολή των δηλώσεων φόρου για χρηματικές δωρεές/γονικές παροχές.</w:t>
      </w:r>
    </w:p>
    <w:p>
      <w:pPr>
        <w:spacing w:before="240" w:after="240"/>
        <w:rPr>
          <w:lang w:val="el" w:eastAsia="el"/>
        </w:rPr>
      </w:pPr>
      <w:r>
        <w:rPr>
          <w:lang w:val="el" w:eastAsia="el"/>
        </w:rPr>
        <w:t>Θεσπίζεται υποχρέωση υποβολής της δήλωσης φόρου δωρεάς/γονικής παροχής και από τους δύο συμβαλλομένους, ανεξάρτητα αν για τη σύσταση αυτής συντάσσεται συμβολαιογραφικό έγγραφο.</w:t>
      </w:r>
    </w:p>
    <w:p>
      <w:pPr>
        <w:spacing w:before="240" w:after="240"/>
        <w:rPr>
          <w:lang w:val="el" w:eastAsia="el"/>
        </w:rPr>
      </w:pPr>
      <w:r>
        <w:rPr>
          <w:lang w:val="el" w:eastAsia="el"/>
        </w:rPr>
        <w:t>Με απόφαση του Διοικητή της Α.Α.Δ.Ε. θα καθορισθούν οι λεπτομέρειες για τον τρόπο υποβολής των δηλώσεων.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 xml:space="preserve">Τροποποίηση του άρθρου 102 </w:t>
      </w:r>
    </w:p>
    <w:p>
      <w:pPr>
        <w:spacing w:before="240" w:after="240"/>
        <w:rPr>
          <w:lang w:val="el" w:eastAsia="el"/>
        </w:rPr>
      </w:pPr>
      <w:r>
        <w:rPr>
          <w:b/>
          <w:bCs/>
          <w:lang w:val="el" w:eastAsia="el"/>
        </w:rPr>
        <w:t>του Κώδικα Διατάξεων Φορολογίας Κληρονομιών, Δωρεών, ΓονικώνΠαροχών, Προικών και Κερδών από Τυχερά Παίγνια</w:t>
      </w:r>
    </w:p>
    <w:p>
      <w:pPr>
        <w:spacing w:before="240" w:after="240"/>
        <w:rPr>
          <w:lang w:val="el" w:eastAsia="el"/>
        </w:rPr>
      </w:pPr>
      <w:r>
        <w:rPr>
          <w:lang w:val="el" w:eastAsia="el"/>
        </w:rPr>
        <w:t>Με τις διατάξεις του άρθρου αυτού παρατείνεται ο χρόνος παραγραφής του δικαιώματος του Δημοσίου για την επιβολή των φόρων και προστίμων στις υποθέσεις φόρου κληρονομιών, δωρεών, γονικών παροχών και κερδών από τυχερά παίγνια από την 31-12-1994, που ίσχυε μέχρι σήμερα, στην 31-12-2003. Ως εκ τούτου για τις ανωτέρω υποθέσεις με χρόνο γένεσης της φορολογικής υποχρέωσης μέχρι και την 31-12-2003 δεν απαιτείται, από τη δημοσίευση του νόμου (18-12-2018) και εφεξής, η προσκόμιση του πιστοποιητικού του άρθρου 105 του Κώδικα διατάξεων φορολογίας κληρονομιών, δωρεών, γονικών παροχών, προικών και κερδών από τυχερά παίγνια. Επίσης, κατά τον υπολογισμό του φόρου κληρονομιών, δωρεών και γονικών παροχών, για τις οποίες η φορολογική υποχρέωση γεννιέται από 18-12-2018, δεν συνυπολογίζονται προγενέστερες δωρεές και γονικές παροχές οι οποίες είχαν συσταθεί μέχρι και 31-12-2003.</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Τροποποίηση του άρθρου 61 του ν.4446/2016</w:t>
      </w:r>
    </w:p>
    <w:p>
      <w:pPr>
        <w:spacing w:before="240" w:after="240"/>
        <w:rPr>
          <w:lang w:val="el" w:eastAsia="el"/>
        </w:rPr>
      </w:pPr>
      <w:r>
        <w:rPr>
          <w:lang w:val="el" w:eastAsia="el"/>
        </w:rPr>
        <w:t>Με τις διατάξεις του άρθρου αυτού επιτρέπεται κατ’ εξαίρεση, η υποβολή τροποποιητικών δηλώσεων Φ.Α.Π. και ΕΝ.Φ.Ι.Α. με τις οποίες ανακαλείται η υποβληθείσα με τις ευεργετικές διατάξεις των άρθρων 57 έως και 60 του ν.4446/2016 δήλωση, με τη συνυποβολή των προβλεπόμενων κατά περίπτωση παραστατικών, τα οποία απαιτείται να αποδεικνύουν ότι συντρέχει ο λόγος ανάκλησης την 1</w:t>
      </w:r>
      <w:r>
        <w:rPr>
          <w:sz w:val="30"/>
          <w:szCs w:val="30"/>
          <w:vertAlign w:val="superscript"/>
          <w:lang w:val="el" w:eastAsia="el"/>
        </w:rPr>
        <w:t>η</w:t>
      </w:r>
      <w:r>
        <w:rPr>
          <w:lang w:val="el" w:eastAsia="el"/>
        </w:rPr>
        <w:t xml:space="preserve"> Ιανουαρίου του οικείου έτους, </w:t>
      </w:r>
      <w:r>
        <w:rPr>
          <w:u w:val="single"/>
          <w:lang w:val="el" w:eastAsia="el"/>
        </w:rPr>
        <w:t>εκτός</w:t>
      </w:r>
      <w:r>
        <w:rPr>
          <w:lang w:val="el" w:eastAsia="el"/>
        </w:rPr>
        <w:t xml:space="preserve"> εάν για τα συγκεκριμένα ακίνητα, για τα οποία είχαν υποβληθεί οι δηλώσεις, έχει εκδοθεί και χρησιμοποιηθεί το πιστοποιητικό ΕΝ.Φ.Ι.Α..</w:t>
      </w:r>
    </w:p>
    <w:p>
      <w:pPr>
        <w:spacing w:before="240" w:after="240"/>
        <w:rPr>
          <w:lang w:val="el" w:eastAsia="el"/>
        </w:rPr>
      </w:pPr>
      <w:r>
        <w:rPr>
          <w:lang w:val="el" w:eastAsia="el"/>
        </w:rPr>
        <w:t>Τυχόν φόροι και τόκοι που έχουν καταβληθεί δεν επιστρέφονται.</w:t>
      </w:r>
    </w:p>
    <w:p>
      <w:pPr>
        <w:spacing w:before="240" w:after="240"/>
        <w:rPr>
          <w:lang w:val="el" w:eastAsia="el"/>
        </w:rPr>
      </w:pPr>
      <w:r>
        <w:rPr>
          <w:b/>
          <w:bCs/>
          <w:lang w:val="el" w:eastAsia="el"/>
        </w:rPr>
        <w:t xml:space="preserve">Συνημμένα: </w:t>
      </w:r>
      <w:r>
        <w:rPr>
          <w:lang w:val="el" w:eastAsia="el"/>
        </w:rPr>
        <w:t>Τα άρθρα 55, 60, 61 και 70 του ν. 4583/2018.</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(περίπτωση 5)</w:t>
      </w:r>
    </w:p>
    <w:p>
      <w:pPr>
        <w:pStyle w:val="MainText"/>
        <w:spacing w:before="120" w:after="0"/>
        <w:rPr>
          <w:lang w:val="el" w:eastAsia="el"/>
        </w:rPr>
      </w:pPr>
      <w:r>
        <w:rPr>
          <w:b/>
          <w:bCs/>
          <w:lang w:val="el" w:eastAsia="el"/>
        </w:rPr>
        <w:t>2.</w:t>
      </w:r>
      <w:r>
        <w:rPr>
          <w:lang w:val="el" w:eastAsia="el"/>
        </w:rPr>
        <w:t xml:space="preserve"> Διεύθυνση Υποστήριξης Ηλεκτρονικών Υπηρεσιών – Τμήμα Α΄ και Ε΄(με την παράκληση να αναρτηθεί στην ιστοσελίδα της Α.Α.Δ.Ε και στην Ηλεκτρονική Βιβλιοθήκη)</w:t>
      </w:r>
    </w:p>
    <w:p>
      <w:pPr>
        <w:pStyle w:val="MainText"/>
        <w:spacing w:before="120" w:after="0"/>
        <w:rPr>
          <w:lang w:val="el" w:eastAsia="el"/>
        </w:rPr>
      </w:pPr>
      <w:r>
        <w:rPr>
          <w:b/>
          <w:bCs/>
          <w:lang w:val="el" w:eastAsia="el"/>
        </w:rPr>
        <w:t>3.</w:t>
      </w:r>
      <w:r>
        <w:rPr>
          <w:lang w:val="el" w:eastAsia="el"/>
        </w:rPr>
        <w:t xml:space="preserve"> ΔΗΛΕΔ</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Β΄ (περιπτώσεις 3 έως και 5)</w:t>
      </w:r>
    </w:p>
    <w:p>
      <w:pPr>
        <w:pStyle w:val="MainText"/>
        <w:spacing w:before="120" w:after="0"/>
        <w:rPr>
          <w:lang w:val="el" w:eastAsia="el"/>
        </w:rPr>
      </w:pPr>
      <w:r>
        <w:rPr>
          <w:b/>
          <w:bCs/>
          <w:lang w:val="el" w:eastAsia="el"/>
        </w:rPr>
        <w:t>2.</w:t>
      </w:r>
      <w:r>
        <w:rPr>
          <w:lang w:val="el" w:eastAsia="el"/>
        </w:rPr>
        <w:t xml:space="preserve"> Αποδέκτες Πίνακα Γ΄ (περιπτώσεις 2 έως και 4)</w:t>
      </w:r>
    </w:p>
    <w:p>
      <w:pPr>
        <w:pStyle w:val="MainText"/>
        <w:spacing w:before="120" w:after="0"/>
        <w:rPr>
          <w:lang w:val="el" w:eastAsia="el"/>
        </w:rPr>
      </w:pPr>
      <w:r>
        <w:rPr>
          <w:b/>
          <w:bCs/>
          <w:lang w:val="el" w:eastAsia="el"/>
        </w:rPr>
        <w:t>3.</w:t>
      </w:r>
      <w:r>
        <w:rPr>
          <w:lang w:val="el" w:eastAsia="el"/>
        </w:rPr>
        <w:t xml:space="preserve"> Αποδέκτες Πίνακα Ζ΄ (περιπτώσεις 1 και 7)</w:t>
      </w:r>
    </w:p>
    <w:p>
      <w:pPr>
        <w:pStyle w:val="MainText"/>
        <w:spacing w:before="120" w:after="0"/>
        <w:rPr>
          <w:lang w:val="el" w:eastAsia="el"/>
        </w:rPr>
      </w:pPr>
      <w:r>
        <w:rPr>
          <w:b/>
          <w:bCs/>
          <w:lang w:val="el" w:eastAsia="el"/>
        </w:rPr>
        <w:t>4.</w:t>
      </w:r>
      <w:r>
        <w:rPr>
          <w:lang w:val="el" w:eastAsia="el"/>
        </w:rPr>
        <w:t xml:space="preserve"> Αποδέκτες Πίνακα Η΄(περιπτώσεις 1 έως και 3, 5 έως και 9)</w:t>
      </w:r>
    </w:p>
    <w:p>
      <w:pPr>
        <w:pStyle w:val="MainText"/>
        <w:spacing w:before="120" w:after="0"/>
        <w:rPr>
          <w:lang w:val="el" w:eastAsia="el"/>
        </w:rPr>
      </w:pPr>
      <w:r>
        <w:rPr>
          <w:b/>
          <w:bCs/>
          <w:lang w:val="el" w:eastAsia="el"/>
        </w:rPr>
        <w:t>5.</w:t>
      </w:r>
      <w:r>
        <w:rPr>
          <w:lang w:val="el" w:eastAsia="el"/>
        </w:rPr>
        <w:t xml:space="preserve"> Αποδέκτες Πίνακα Ι΄</w:t>
      </w:r>
    </w:p>
    <w:p>
      <w:pPr>
        <w:spacing w:before="240" w:after="240"/>
        <w:rPr>
          <w:lang w:val="el" w:eastAsia="el"/>
        </w:rPr>
      </w:pPr>
      <w:r>
        <w:rPr>
          <w:b/>
          <w:bCs/>
          <w:lang w:val="el" w:eastAsia="el"/>
        </w:rPr>
        <w:t>IΙΙ.ΕΣΩΤΕΡΙΚΗ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Υφυπουργού</w:t>
      </w:r>
    </w:p>
    <w:p>
      <w:pPr>
        <w:pStyle w:val="MainText"/>
        <w:spacing w:before="120" w:after="0"/>
        <w:rPr>
          <w:lang w:val="el" w:eastAsia="el"/>
        </w:rPr>
      </w:pPr>
      <w:r>
        <w:rPr>
          <w:b/>
          <w:bCs/>
          <w:lang w:val="el" w:eastAsia="el"/>
        </w:rPr>
        <w:t>3.</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4.</w:t>
      </w:r>
      <w:r>
        <w:rPr>
          <w:lang w:val="el" w:eastAsia="el"/>
        </w:rPr>
        <w:t xml:space="preserve"> Γραφεία Γενικών Διευθυντών</w:t>
      </w:r>
    </w:p>
    <w:p>
      <w:pPr>
        <w:pStyle w:val="MainText"/>
        <w:spacing w:before="120" w:after="0"/>
        <w:rPr>
          <w:lang w:val="el" w:eastAsia="el"/>
        </w:rPr>
      </w:pPr>
      <w:r>
        <w:rPr>
          <w:b/>
          <w:bCs/>
          <w:lang w:val="el" w:eastAsia="el"/>
        </w:rPr>
        <w:t>5.</w:t>
      </w:r>
      <w:r>
        <w:rPr>
          <w:lang w:val="el" w:eastAsia="el"/>
        </w:rPr>
        <w:t xml:space="preserve"> Διευθύνσεις, Αυτοτελή Τμήματα και Αυτοτελή Γραφεία της Α.Α.Δ.Ε.</w:t>
      </w:r>
    </w:p>
    <w:p>
      <w:pPr>
        <w:pStyle w:val="MainText"/>
        <w:spacing w:before="120" w:after="0"/>
        <w:rPr>
          <w:lang w:val="el" w:eastAsia="el"/>
        </w:rPr>
      </w:pPr>
      <w:r>
        <w:rPr>
          <w:b/>
          <w:bCs/>
          <w:lang w:val="el" w:eastAsia="el"/>
        </w:rPr>
        <w:t>6.</w:t>
      </w:r>
      <w:r>
        <w:rPr>
          <w:lang w:val="el" w:eastAsia="el"/>
        </w:rPr>
        <w:t xml:space="preserve"> Δ/νση Εφαρμογής Φορολογίας Κεφαλαίου και Περιουσιολογίου – Τμήματα Α’&amp;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a@aade.gr" TargetMode="External" /><Relationship Id="rId5" Type="http://schemas.openxmlformats.org/officeDocument/2006/relationships/hyperlink" Target="mailto:def.b@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