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Κοινοποίηση των διατάξεων του αρ. 68 του ν. 4583/2018 (Α’212/18.12.2018), με τις οποίες τροποποιείται το άρθρο 22 του ν. 1676/1986 περί απαλλαγών και εξαιρέσεων από τον φόρο συγκέντρωσης κεφαλαίων.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την ανωτέρω τροποποίηση, από 18/12/2018, απαλλάσσεται από τον φόρο συγκέντρωσης κεφαλαίου η αύξηση του κεφαλαίου των υπόχρεων προσώπων του άρθρου 17 του ν. 1676/1986 που γίνεται με μετρητά, όταν το προϊόν της αύξησης πρόκειται να διατεθεί αποκλειστικά για δαπάνες Επιστημονικής και Τεχνολογικής Έρευνας, όπως αυτές ορίζονται στην παρ. 1 του άρθρου 22Α του ν. 4172/2013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 τα κριτήρια χαρακτηρισμού δαπανών επιστημονικής και τεχνολογικής έρευνας των επιχειρήσεων καθορίζονται από την αριθμ. 109343/Ι2/2017 (Β’ 2351/11.7.2017) κοινή υπουργική απόφαση των Υπουργών Παιδείας, Έρευνας και Θρησκευμάτων, Οικονομικών και της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ΑΝΕΞΑΡΤΗΤΗΣ ΑΡΧΗΣ ΔΗΜΟΣΙΩΝ ΕΣΟΔΩΝ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 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Α΄.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Ζ΄.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Η΄.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Θ΄.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ΙΓ΄.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ΙΣΤ΄.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Γεν.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Εφαρμογής Έμμεσης Φορολογίας – Τμήμα Β΄ Τελών &amp; Ε.Φ.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