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u w:val="single"/>
          <w:lang w:val="el" w:eastAsia="el"/>
        </w:rPr>
        <w:t xml:space="preserve">EΞ. </w:t>
      </w:r>
      <w:r>
        <w:rPr>
          <w:b/>
          <w:bCs/>
          <w:u w:val="single"/>
          <w:lang w:val="el" w:eastAsia="el"/>
        </w:rPr>
        <w:t>ΕΠΕΙΓΟΝ</w:t>
      </w:r>
    </w:p>
    <w:p>
      <w:pPr>
        <w:pStyle w:val="Title"/>
        <w:spacing w:before="120" w:after="360"/>
        <w:rPr>
          <w:lang w:val="el" w:eastAsia="el"/>
        </w:rPr>
      </w:pPr>
      <w:r>
        <w:rPr>
          <w:b/>
          <w:bCs/>
          <w:lang w:val="el" w:eastAsia="el"/>
        </w:rPr>
        <w:t>ΑΝΑΡΤΗΤΕΑ ΣΤΟ ΔΙ</w:t>
      </w:r>
    </w:p>
    <w:p>
      <w:pPr>
        <w:pStyle w:val="Title"/>
        <w:spacing w:before="120" w:after="360"/>
        <w:rPr>
          <w:lang w:val="el" w:eastAsia="el"/>
        </w:rPr>
      </w:pPr>
      <w:r>
        <w:rPr>
          <w:b/>
          <w:bCs/>
          <w:lang w:val="el" w:eastAsia="el"/>
        </w:rPr>
        <w:t>ΑΔΑ:Ψ6ΗΟ46ΜΠ3Ζ-</w:t>
      </w:r>
    </w:p>
    <w:p>
      <w:pPr>
        <w:pStyle w:val="PreambelText"/>
        <w:spacing w:before="240" w:after="240"/>
        <w:rPr>
          <w:lang w:val="el" w:eastAsia="el"/>
        </w:rPr>
      </w:pPr>
      <w:r>
        <w:rPr>
          <w:lang w:val="el" w:eastAsia="el"/>
        </w:rPr>
        <w:t>Αρ.Πρωτ:Ε.2017</w:t>
      </w:r>
    </w:p>
    <w:p>
      <w:pPr>
        <w:pStyle w:val="PreambelText"/>
        <w:spacing w:before="240" w:after="240"/>
        <w:rPr>
          <w:lang w:val="el" w:eastAsia="el"/>
        </w:rPr>
      </w:pPr>
      <w:r>
        <w:rPr>
          <w:b/>
          <w:bCs/>
          <w:lang w:val="el" w:eastAsia="el"/>
        </w:rPr>
        <w:t>ΠΡΟΣ: Ως Πίνακας Διανομής</w:t>
      </w:r>
    </w:p>
    <w:p>
      <w:pPr>
        <w:pStyle w:val="PreambelText"/>
        <w:spacing w:before="240" w:after="240"/>
        <w:rPr>
          <w:lang w:val="el" w:eastAsia="el"/>
        </w:rPr>
      </w:pPr>
      <w:r>
        <w:rPr>
          <w:b/>
          <w:bCs/>
          <w:lang w:val="el" w:eastAsia="el"/>
        </w:rPr>
        <w:t>ΛΑΛΕ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 xml:space="preserve">Ταχ. Δ/νση: </w:t>
      </w:r>
      <w:r>
        <w:rPr>
          <w:lang w:val="el" w:eastAsia="el"/>
        </w:rPr>
        <w:t>Καρ. Σερβίας 10</w:t>
      </w:r>
    </w:p>
    <w:p>
      <w:pPr>
        <w:spacing w:before="240" w:after="240"/>
        <w:rPr>
          <w:lang w:val="el" w:eastAsia="el"/>
        </w:rPr>
      </w:pPr>
      <w:r>
        <w:rPr>
          <w:b/>
          <w:bCs/>
          <w:lang w:val="el" w:eastAsia="el"/>
        </w:rPr>
        <w:t xml:space="preserve">Ταχ. Κωδ.: </w:t>
      </w:r>
      <w:r>
        <w:rPr>
          <w:lang w:val="el" w:eastAsia="el"/>
        </w:rPr>
        <w:t>101 84 ΑΘΗΝΑ</w:t>
      </w:r>
    </w:p>
    <w:p>
      <w:pPr>
        <w:spacing w:before="240" w:after="240"/>
        <w:rPr>
          <w:lang w:val="el" w:eastAsia="el"/>
        </w:rPr>
      </w:pPr>
      <w:r>
        <w:rPr>
          <w:b/>
          <w:bCs/>
          <w:lang w:val="el" w:eastAsia="el"/>
        </w:rPr>
        <w:t xml:space="preserve">Τηλέφωνο: </w:t>
      </w:r>
      <w:r>
        <w:rPr>
          <w:lang w:val="el" w:eastAsia="el"/>
        </w:rPr>
        <w:t>210-3375317</w:t>
      </w:r>
    </w:p>
    <w:p>
      <w:pPr>
        <w:spacing w:before="240" w:after="240"/>
        <w:rPr>
          <w:lang w:val="el" w:eastAsia="el"/>
        </w:rPr>
      </w:pPr>
      <w:r>
        <w:rPr>
          <w:b/>
          <w:bCs/>
          <w:lang w:val="el" w:eastAsia="el"/>
        </w:rPr>
        <w:t xml:space="preserve">ΦΑΞ: </w:t>
      </w:r>
      <w:r>
        <w:rPr>
          <w:lang w:val="el" w:eastAsia="el"/>
        </w:rPr>
        <w:t>210-3375001</w:t>
      </w:r>
    </w:p>
    <w:p>
      <w:pPr>
        <w:spacing w:before="240" w:after="240"/>
        <w:rPr>
          <w:lang w:val="el" w:eastAsia="el"/>
        </w:rPr>
      </w:pPr>
      <w:r>
        <w:rPr>
          <w:b/>
          <w:bCs/>
          <w:lang w:val="el" w:eastAsia="el"/>
        </w:rPr>
        <w:t>ΘΕΜΑ: Διευκρινίσεις σχετικά με τη διαδικασία μεταβολής φορολογικής κατοικίας στο Κουβέιτ.</w:t>
      </w:r>
    </w:p>
    <w:p>
      <w:pPr>
        <w:spacing w:before="240" w:after="240"/>
        <w:rPr>
          <w:lang w:val="el" w:eastAsia="el"/>
        </w:rPr>
      </w:pPr>
      <w:r>
        <w:rPr>
          <w:lang w:val="el" w:eastAsia="el"/>
        </w:rPr>
        <w:t>Με αφορμή προφορικά και γραπτά ερωτήματα που έχουν υποβληθεί στις υπηρεσίες μας, αναφορικά με το πιο πάνω θέμα, σας γνωρίζουμε τα ακόλουθα:</w:t>
      </w:r>
    </w:p>
    <w:p>
      <w:pPr>
        <w:spacing w:before="240" w:after="240"/>
        <w:rPr>
          <w:lang w:val="el" w:eastAsia="el"/>
        </w:rPr>
      </w:pPr>
      <w:r>
        <w:rPr>
          <w:lang w:val="el" w:eastAsia="el"/>
        </w:rPr>
        <w:t>1. Με το αριθμ. πρωτ. ΔΟΣ Α 1157035 ΕΞ 2018/23-10-2018 έγγραφό της, η Δ/νση Διεθνών Οικονομικών Σχέσεων κοινοποίησε έγγραφο του Υπουργείου Εξωτερικών, σχετικά με τη μη χορήγηση Πιστοποιητικών Φορολογικής Κατοικίας, βάσει του Άρθρου 4 της ΣΑΔΦ μεταξύ Ελλάδος και του Κράτους του Κουβέιτ. Ειδικότερα, το Υπουργείο Εξωτερικών με το ΑΠ.Φ.1420/ΑΣ 58582/16.10.2018 έγγραφό του, απέστειλε αντίγραφο ρηματικής διακοίνωσης η οποία περιήλθε από την Πρεσβεία του Κουβέιτ ως απάντηση σε ερώτημα αφορών τα πιστοποιητικά φορολογικής κατοικίας (Tax Residence Certificates) τα οποία χορηγούσε, παλαιότερα, το Κουβέιτ σε Έλληνες μονίμως διαμένοντες στην εν λόγω χώρα.</w:t>
      </w:r>
    </w:p>
    <w:p>
      <w:pPr>
        <w:spacing w:before="240" w:after="240"/>
        <w:rPr>
          <w:lang w:val="el" w:eastAsia="el"/>
        </w:rPr>
      </w:pPr>
      <w:r>
        <w:rPr>
          <w:lang w:val="el" w:eastAsia="el"/>
        </w:rPr>
        <w:t xml:space="preserve">Στη ρηματική διακοίνωση αναφέρεται ότι τα πιστοποιητικά αυτά δεν χορηγούνται </w:t>
      </w:r>
      <w:r>
        <w:rPr>
          <w:u w:val="single"/>
          <w:lang w:val="el" w:eastAsia="el"/>
        </w:rPr>
        <w:t>πλέον</w:t>
      </w:r>
      <w:r>
        <w:rPr>
          <w:lang w:val="el" w:eastAsia="el"/>
        </w:rPr>
        <w:t>, βάσει του άρθρου 4 της Διμερούς Συμφωνίας περί Αποφυγής Διπλής Φορολογίας.</w:t>
      </w:r>
    </w:p>
    <w:p>
      <w:pPr>
        <w:spacing w:before="240" w:after="240"/>
        <w:rPr>
          <w:lang w:val="el" w:eastAsia="el"/>
        </w:rPr>
      </w:pPr>
      <w:r>
        <w:rPr>
          <w:lang w:val="el" w:eastAsia="el"/>
        </w:rPr>
        <w:t>2. Κατόπιν των ανωτέρω, και για σκοπούς χρηστής διοίκησης, στο πλαίσιο εξέτασης αιτημάτων φυσικών προσώπων που επιθυμούν να μεταφέρουν τη φορολογική τους κατοικία στο Κουβέιτ, αντί για το πιστοποιητικό φορολογικής κατοικίας της περ.α΄ της παρ.2 της ΠΟΛ.1201/2017 Απόφασης Διοικητή ΑΑΔΕ, θα γίνονται δεκτά τα δικαιολογητικά της περ.β΄ ή της περ.γ΄ της παρ.2 αυτής.</w:t>
      </w:r>
    </w:p>
    <w:p>
      <w:pPr>
        <w:spacing w:before="240" w:after="240"/>
        <w:rPr>
          <w:lang w:val="el" w:eastAsia="el"/>
        </w:rPr>
      </w:pPr>
      <w:r>
        <w:rPr>
          <w:lang w:val="el" w:eastAsia="el"/>
        </w:rPr>
        <w:t>Τα ανωτέρω έχουν εφαρμογή για αιτήσεις μεταβολής φορολογικής κατοικίας που υποβλήθηκαν εντός του έτους 2018 ή υποβάλλονται στα έτη 2019 και επόμενα και αφορούν μεταβολή φορολογικής κατοικίας φυσικών προσώπων για τα έτη 2017 και επόμενα, αντίστοιχα.</w:t>
      </w:r>
    </w:p>
    <w:p>
      <w:pPr>
        <w:spacing w:before="240" w:after="240"/>
        <w:rPr>
          <w:lang w:val="el" w:eastAsia="el"/>
        </w:rPr>
      </w:pPr>
      <w:r>
        <w:rPr>
          <w:lang w:val="el" w:eastAsia="el"/>
        </w:rPr>
        <w:t>3. Ειδικά για τις αιτήσεις μεταβολής φορολογικής κατοικίας που υποβλήθηκαν εντός του έτους 2018 κατ’ εφαρμογή της ΠΟΛ.1201/2017 Απόφασης ΑΑΔΕ:</w:t>
      </w:r>
    </w:p>
    <w:p>
      <w:pPr>
        <w:pStyle w:val="StructureList1"/>
        <w:spacing w:before="120" w:after="0"/>
        <w:rPr>
          <w:lang w:val="el" w:eastAsia="el"/>
        </w:rPr>
      </w:pPr>
      <w:r>
        <w:rPr>
          <w:lang w:val="el" w:eastAsia="el"/>
        </w:rPr>
        <w:t>α)</w:t>
      </w:r>
      <w:r>
        <w:rPr>
          <w:lang w:val="en" w:eastAsia="en"/>
        </w:rPr>
        <w:tab/>
      </w:r>
      <w:r>
        <w:rPr>
          <w:lang w:val="el" w:eastAsia="el"/>
        </w:rPr>
        <w:t>όσες απορρίφθηκαν εκ του ανωτέρω λόγου, αυτές δύνανται να υποβληθούν εκ νέου και να εξετασθούν με τη διαδικασία της ΠΟΛ.1177/2014 εγκυκλίου, τα δικαιολογητικά της ΠΟΛ.1201/2017 Απόφασης αλλά με τα ως άνω ειδικότερα αναφερόμενα.</w:t>
      </w:r>
    </w:p>
    <w:p>
      <w:pPr>
        <w:pStyle w:val="StructureList1"/>
        <w:spacing w:before="120" w:after="0"/>
        <w:rPr>
          <w:lang w:val="el" w:eastAsia="el"/>
        </w:rPr>
      </w:pPr>
      <w:r>
        <w:rPr>
          <w:lang w:val="el" w:eastAsia="el"/>
        </w:rPr>
        <w:t>β)</w:t>
      </w:r>
      <w:r>
        <w:rPr>
          <w:lang w:val="en" w:eastAsia="en"/>
        </w:rPr>
        <w:tab/>
      </w:r>
      <w:r>
        <w:rPr>
          <w:lang w:val="el" w:eastAsia="el"/>
        </w:rPr>
        <w:t>όσες εκκρεμούν εκ του ανωτέρω λόγου, ενώ οι φορολογούμενοι έχουν προσκομίσει, εμπροθέσμως, τα προβλεπόμενα δικαιολογητικά, αυτές θα εξετασθούν με βάση τα ως άνω αναφερόμενα.</w:t>
      </w:r>
    </w:p>
    <w:p>
      <w:pPr>
        <w:spacing w:before="240" w:after="240"/>
        <w:rPr>
          <w:lang w:val="el" w:eastAsia="el"/>
        </w:rPr>
      </w:pPr>
      <w:r>
        <w:rPr>
          <w:lang w:val="el" w:eastAsia="el"/>
        </w:rPr>
        <w:t>Οι εκπρόθεσμες δηλώσεις φορολογίας εισοδήματος των ανωτέρω φορολογουμένων (τροποποιητικές ή αρχικές) θα υποβληθούν χωρίς την επιβολή κυρώσεων και τόκων εκπρόθεσμης καταβολής, δεδομένου ότι η εκπρόθεσμη υποβολή δεν οφείλεται σε υπαιτιότητά τους (σχετ. η ΠΟΛ.1083/18 εγκύκλιος μας), εφόσον υποβληθούν εντός διμήνου από την ολοκλήρωση της εξέτασης του σχετικού φακέλου από την αρμόδια Δ.Ο.Υ..</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ΑΠΟΔΕΚΤΩΝ</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Διεύθυνση Υποστήριξης Ηλεκτρονικών Υπηρεσιών (με την παράκληση να αναρτηθεί: α) στην ιστοσελίδα της Α.Α.Δ.Ε., και β) στην Ηλεκτρονική Βιβλιοθήκη αυτής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Αποδέκτες Πινάκων Η΄ (περιπτώσεις 1 έως 3, 5 έως 9), Ι΄ και ΙΑ΄(περιπτώσεις 2 και 3)</w:t>
      </w:r>
    </w:p>
    <w:p>
      <w:pPr>
        <w:spacing w:before="240" w:after="240"/>
        <w:rPr>
          <w:lang w:val="el" w:eastAsia="el"/>
        </w:rPr>
      </w:pPr>
      <w:r>
        <w:rPr>
          <w:lang w:val="el" w:eastAsia="el"/>
        </w:rPr>
        <w:t>4. Υπουργείο Εξωτερικών</w:t>
      </w:r>
    </w:p>
    <w:p>
      <w:pPr>
        <w:spacing w:before="240" w:after="240"/>
        <w:rPr>
          <w:lang w:val="el" w:eastAsia="el"/>
        </w:rPr>
      </w:pPr>
      <w:r>
        <w:rPr>
          <w:lang w:val="el" w:eastAsia="el"/>
        </w:rPr>
        <w:t>5. Προξενικές Αρχές της Ελλάδας (Πρεσβείες, Γενικά Προξενεία &amp; Προξενικές Αρχές)</w:t>
      </w:r>
    </w:p>
    <w:p>
      <w:pPr>
        <w:spacing w:before="240" w:after="240"/>
        <w:rPr>
          <w:lang w:val="el" w:eastAsia="el"/>
        </w:rPr>
      </w:pPr>
      <w:r>
        <w:rPr>
          <w:lang w:val="el" w:eastAsia="el"/>
        </w:rPr>
        <w:t>6. Συνήγορος του Πολίτη</w:t>
      </w:r>
    </w:p>
    <w:p>
      <w:pPr>
        <w:spacing w:before="240" w:after="240"/>
        <w:rPr>
          <w:lang w:val="el" w:eastAsia="el"/>
        </w:rPr>
      </w:pPr>
      <w:r>
        <w:rPr>
          <w:lang w:val="el" w:eastAsia="el"/>
        </w:rPr>
        <w:t>7. Γενικός Επιθεωρητής Δημόσιας Διοίκησης</w:t>
      </w:r>
    </w:p>
    <w:p>
      <w:pPr>
        <w:spacing w:before="240" w:after="240"/>
        <w:rPr>
          <w:lang w:val="el" w:eastAsia="el"/>
        </w:rPr>
      </w:pPr>
      <w:r>
        <w:rPr>
          <w:b/>
          <w:bCs/>
          <w:lang w:val="el" w:eastAsia="el"/>
        </w:rPr>
        <w:t>IΙΙ. ΑΠΟΔΕΚΤΕΣ ΓΙΑ ΕΝΗΜΕΡΩΣΗ</w:t>
      </w:r>
    </w:p>
    <w:p>
      <w:pPr>
        <w:spacing w:before="240" w:after="240"/>
        <w:rPr>
          <w:lang w:val="el" w:eastAsia="el"/>
        </w:rPr>
      </w:pPr>
      <w:r>
        <w:rPr>
          <w:lang w:val="el" w:eastAsia="el"/>
        </w:rPr>
        <w:t>Αποδέκτες Πινάκων Α΄(πλην των περιπτώσεων 2,3 και 4), Β΄ και Ζ΄ (πλην των περιπτώσεων 2,και 5)</w:t>
      </w:r>
    </w:p>
    <w:p>
      <w:pPr>
        <w:spacing w:before="240" w:after="240"/>
        <w:rPr>
          <w:lang w:val="el" w:eastAsia="el"/>
        </w:rPr>
      </w:pPr>
      <w:r>
        <w:rPr>
          <w:b/>
          <w:bCs/>
          <w:lang w:val="el" w:eastAsia="el"/>
        </w:rPr>
        <w:t>IV. ΕΣΩΤΕΡΙΚΗ ΔΙΑΝΟΜΗ</w:t>
      </w:r>
    </w:p>
    <w:p>
      <w:pPr>
        <w:spacing w:before="240" w:after="240"/>
        <w:rPr>
          <w:lang w:val="el" w:eastAsia="el"/>
        </w:rPr>
      </w:pPr>
      <w:r>
        <w:rPr>
          <w:lang w:val="el" w:eastAsia="el"/>
        </w:rPr>
        <w:t>1. Γραφείο Διοικητή της Ανεξάρτητης Αρχής Δημοσίων Εσόδων</w:t>
      </w:r>
    </w:p>
    <w:p>
      <w:pPr>
        <w:spacing w:before="240" w:after="240"/>
        <w:rPr>
          <w:lang w:val="el" w:eastAsia="el"/>
        </w:rPr>
      </w:pPr>
      <w:r>
        <w:rPr>
          <w:lang w:val="el" w:eastAsia="el"/>
        </w:rPr>
        <w:t>2. Προϊσταμένους των Γενικών Διευθύνσεων της Α.Α.Δ.Ε.</w:t>
      </w:r>
    </w:p>
    <w:p>
      <w:pPr>
        <w:spacing w:before="240" w:after="240"/>
        <w:rPr>
          <w:lang w:val="el" w:eastAsia="el"/>
        </w:rPr>
      </w:pPr>
      <w:r>
        <w:rPr>
          <w:lang w:val="el" w:eastAsia="el"/>
        </w:rPr>
        <w:t>3. Διεύθυνση Νομικής Υποστήριξης Α.Α.Δ.Ε.</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lang w:val="el" w:eastAsia="el"/>
        </w:rPr>
        <w:t>5. Διευθύνσεις: α) Εφαρμογής Άμεσης Φορολογίας</w:t>
      </w:r>
    </w:p>
    <w:p>
      <w:pPr>
        <w:pStyle w:val="StructureList1"/>
        <w:spacing w:before="120" w:after="0"/>
        <w:rPr>
          <w:lang w:val="el" w:eastAsia="el"/>
        </w:rPr>
      </w:pPr>
      <w:r>
        <w:rPr>
          <w:lang w:val="el" w:eastAsia="el"/>
        </w:rPr>
        <w:t>β)</w:t>
      </w:r>
      <w:r>
        <w:rPr>
          <w:lang w:val="en" w:eastAsia="en"/>
        </w:rPr>
        <w:tab/>
      </w:r>
      <w:r>
        <w:rPr>
          <w:lang w:val="el" w:eastAsia="el"/>
        </w:rPr>
        <w:t>Διεθνών Οικονομικών Σχέσεων (Δ.Ο.Σ.)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