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w:t>
      </w:r>
    </w:p>
    <w:p>
      <w:pPr>
        <w:pStyle w:val="Title"/>
        <w:spacing w:before="120" w:after="360"/>
        <w:rPr>
          <w:lang w:val="el" w:eastAsia="el"/>
        </w:rPr>
      </w:pPr>
      <w:r>
        <w:rPr>
          <w:b/>
          <w:bCs/>
          <w:lang w:val="el" w:eastAsia="el"/>
        </w:rPr>
        <w:t>ΑΔΑ:63ΙΩ46ΜΠ3Ζ-8ΜΝ</w:t>
      </w:r>
    </w:p>
    <w:p>
      <w:pPr>
        <w:spacing w:before="240" w:after="240"/>
        <w:rPr>
          <w:lang w:val="el" w:eastAsia="el"/>
        </w:rPr>
      </w:pPr>
      <w:r>
        <w:rPr>
          <w:i/>
          <w:iCs/>
          <w:lang w:val="el" w:eastAsia="el"/>
        </w:rPr>
        <w:t>δραστηριότητα που αποκτούν τα νομικά πρόσωπα και οι νομικές οντότητες που τηρούν διπλογραφικά βιβλία, εξαιρουμένων των πιστωτικών ιδρυμάτων της περίπτωσης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εννέα τοις εκατό (29%) για τα εισοδήματα του φορολογικού έτους 2018, ο οποίος μειώνεται σταδιακά σε είκοσι οκτώ τοις εκατό (28%) για τα εισοδήματα του φορολογικού έτους 2019, σε είκοσι επτά τοις εκατό (27%) για τα εισοδήματα του φορολογικού έτους 2020, σε είκοσι έξι τοις εκατό (26%) για τα εισοδήματα του φορολογικού έτους 2021 και σε είκοσι πέντε τοις εκατό (25%) για τα εισοδήματα του φορολογικού έτους 2022 και επομένων</w:t>
      </w:r>
      <w:r>
        <w:rPr>
          <w:lang w:val="el" w:eastAsia="el"/>
        </w:rPr>
        <w:t>».</w:t>
      </w:r>
    </w:p>
    <w:p>
      <w:pPr>
        <w:spacing w:before="240" w:after="240"/>
        <w:rPr>
          <w:lang w:val="el" w:eastAsia="el"/>
        </w:rPr>
      </w:pPr>
      <w:r>
        <w:rPr>
          <w:lang w:val="el" w:eastAsia="el"/>
        </w:rPr>
        <w:t>2. Με τις διατάξεις της παρ.1 του άρθρου 8 του ΚΦΕ ορίζεται, ότι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Επίσης, με τις διατάξεις της παρ.1 του άρθρου 72 του ΚΦΕ,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w:t>
      </w:r>
    </w:p>
    <w:p>
      <w:pPr>
        <w:spacing w:before="240" w:after="240"/>
        <w:rPr>
          <w:lang w:val="el" w:eastAsia="el"/>
        </w:rPr>
      </w:pPr>
      <w:r>
        <w:rPr>
          <w:lang w:val="el" w:eastAsia="el"/>
        </w:rPr>
        <w:t xml:space="preserve">3. Από τα ανωτέρω συνάγεται ότι, στις περιπτώσεις φορολογικών ετών που δεν ταυτίζονται με το ημερολογιακό έτος, ο προσδιορισμός του φορολογικού έτους γίνεται με βάση το ημερολογιακό έτος εντός του οποίου </w:t>
      </w:r>
      <w:r>
        <w:rPr>
          <w:b/>
          <w:bCs/>
          <w:u w:val="single"/>
          <w:lang w:val="el" w:eastAsia="el"/>
        </w:rPr>
        <w:t xml:space="preserve">εκκινεί </w:t>
      </w:r>
      <w:r>
        <w:rPr>
          <w:lang w:val="el" w:eastAsia="el"/>
        </w:rPr>
        <w:t>το φορολογικό έτος.</w:t>
      </w:r>
    </w:p>
    <w:p>
      <w:pPr>
        <w:spacing w:before="240" w:after="240"/>
        <w:rPr>
          <w:lang w:val="el" w:eastAsia="el"/>
        </w:rPr>
      </w:pPr>
      <w:r>
        <w:rPr>
          <w:lang w:val="el" w:eastAsia="el"/>
        </w:rPr>
        <w:t xml:space="preserve">Επομένως, για την εφαρμογή των διατάξεων της παρ.1 του άρθρου 58 του ν.4172/2013, για τα νομικά πρόσωπα και τις νομικές οντότητες με φορολογικό έτος που αρχίζει σε διαφορετική ημερομηνία από αυτή του ημερολογιακού έτους (για παράδειγμα, την 1/7), για την εφαρμογή του μειωμένου συντελεστή </w:t>
      </w:r>
      <w:r>
        <w:rPr>
          <w:u w:val="single"/>
          <w:lang w:val="el" w:eastAsia="el"/>
        </w:rPr>
        <w:t>λαμβάνεται υπόψη η ημερομηνία έναρξης του εκάστοτε φορολογικού έτους</w:t>
      </w:r>
      <w:r>
        <w:rPr>
          <w:lang w:val="el" w:eastAsia="el"/>
        </w:rPr>
        <w:t xml:space="preserve"> (ήτοι, π.χ. σε περίπτωση έναρξης του φορολογικού έτους την 1.7.2019, ο μειωμένος συντελεστής 28% για το φορολογικό έτος 2019 εφαρμόζεται για τα εισοδήματα που αποκτώνται από 1.7.2019 έως 30.6.2020).</w:t>
      </w:r>
    </w:p>
    <w:p>
      <w:pPr>
        <w:spacing w:before="240" w:after="240"/>
        <w:rPr>
          <w:lang w:val="el" w:eastAsia="el"/>
        </w:rPr>
      </w:pPr>
      <w:r>
        <w:rPr>
          <w:lang w:val="el" w:eastAsia="el"/>
        </w:rPr>
        <w:t>4. Τέλος, ειδικά για τα πιστωτικά ιδρύματα της περίπτωσης 1 της παρ.1 του άρθρου 3 του ν.4261/2014, αυτά εξακολουθούν να φορολογούνται με συντελεστή είκοσι εννέα τοις εκατό (29%). Ως πιστωτικά ιδρύματα νοούνται αυτά που ορίζονται στο σημείο 1) της παρ.1 του άρθρου 4 του Κανονισμού (ΕΕ) αριθ.575/2013, ήτοι οι επιχειρήσεις των οποίων η δραστηριότητα συνίσταται στην αποδοχή από το κοινό καταθέσεων ή άλλων επιστρεπτέων κεφαλαίων και στη χορήγηση πιστώσεων για ίδιο λογαριασμό.</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w:t>
      </w:r>
      <w:r>
        <w:rPr>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2 </w:t>
      </w:r>
      <w:r>
        <w:rPr>
          <w:b/>
          <w:bCs/>
          <w:lang w:val="el" w:eastAsia="el"/>
        </w:rPr>
        <w:t>.</w:t>
      </w:r>
      <w:r>
        <w:rPr>
          <w:lang w:val="el" w:eastAsia="el"/>
        </w:rPr>
        <w:t>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 xml:space="preserve">3 </w:t>
      </w:r>
      <w:r>
        <w:rPr>
          <w:b/>
          <w:bCs/>
          <w:lang w:val="el" w:eastAsia="el"/>
        </w:rPr>
        <w:t>.</w:t>
      </w:r>
      <w:r>
        <w:rPr>
          <w:lang w:val="el" w:eastAsia="el"/>
        </w:rPr>
        <w:t>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 xml:space="preserve">4 </w:t>
      </w:r>
      <w:r>
        <w:rPr>
          <w:b/>
          <w:bCs/>
          <w:lang w:val="el" w:eastAsia="el"/>
        </w:rPr>
        <w:t>.</w:t>
      </w:r>
      <w:r>
        <w:rPr>
          <w:lang w:val="el" w:eastAsia="el"/>
        </w:rPr>
        <w:t>ΔΤΔ – Εγκεκριμένοι Οικονομικοί Φορείς</w:t>
      </w:r>
    </w:p>
    <w:p>
      <w:pPr>
        <w:spacing w:before="240" w:after="240"/>
        <w:rPr>
          <w:lang w:val="el" w:eastAsia="el"/>
        </w:rPr>
      </w:pPr>
      <w:r>
        <w:rPr>
          <w:lang w:val="el" w:eastAsia="el"/>
        </w:rPr>
        <w:t xml:space="preserve">5 </w:t>
      </w:r>
      <w:r>
        <w:rPr>
          <w:b/>
          <w:bCs/>
          <w:lang w:val="el" w:eastAsia="el"/>
        </w:rPr>
        <w:t>.</w:t>
      </w:r>
      <w:r>
        <w:rPr>
          <w:lang w:val="el" w:eastAsia="el"/>
        </w:rPr>
        <w:t>Γραφείο κ. Υπουργού Οικονομικών</w:t>
      </w:r>
    </w:p>
    <w:p>
      <w:pPr>
        <w:spacing w:before="240" w:after="240"/>
        <w:rPr>
          <w:lang w:val="el" w:eastAsia="el"/>
        </w:rPr>
      </w:pPr>
      <w:r>
        <w:rPr>
          <w:lang w:val="el" w:eastAsia="el"/>
        </w:rPr>
        <w:t xml:space="preserve">6 </w:t>
      </w:r>
      <w:r>
        <w:rPr>
          <w:b/>
          <w:bCs/>
          <w:lang w:val="el" w:eastAsia="el"/>
        </w:rPr>
        <w:t xml:space="preserve">. </w:t>
      </w:r>
      <w:r>
        <w:rPr>
          <w:lang w:val="el" w:eastAsia="el"/>
        </w:rPr>
        <w:t>Γραφείο κας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