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44"/>
        <w:gridCol w:w="35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 Ταχ. Κώδ. Τηλέφωνο 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210 - 3375312</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210 - 3375001</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d12.b@yo.syzefxis.gov.gr</w:t>
              </w:r>
            </w:hyperlink>
          </w:p>
        </w:tc>
      </w:tr>
    </w:tbl>
    <w:p>
      <w:pPr>
        <w:spacing w:before="240" w:after="240"/>
        <w:rPr>
          <w:lang w:val="el" w:eastAsia="el"/>
        </w:rPr>
      </w:pPr>
      <w:r>
        <w:rPr>
          <w:b/>
          <w:bCs/>
          <w:lang w:val="el" w:eastAsia="el"/>
        </w:rPr>
        <w:t>ΘΕΜΑ: Έκπτωση δαπανών που αφορούν σε εξόφληση συναλλαγών σε επιχειρήσεις για την προμήθεια φυσικού αερίου</w:t>
      </w:r>
    </w:p>
    <w:p>
      <w:pPr>
        <w:spacing w:before="240" w:after="240"/>
        <w:rPr>
          <w:lang w:val="el" w:eastAsia="el"/>
        </w:rPr>
      </w:pPr>
      <w:r>
        <w:rPr>
          <w:lang w:val="el" w:eastAsia="el"/>
        </w:rPr>
        <w:t>Με αφορμή προφορικά και γραπτά αιτήματα που έχουν υποβληθεί στην υπηρεσία μας, αναφορικά με το πιο πάνω θέμα και σε συνέχεια του αριθ. πρωτ. ΔΕΑΦΒ 1069397 ΕΞ2016/26.4.2016 εγγράφου μας, σας γνωρίζουμε τα ακόλουθα:</w:t>
      </w:r>
    </w:p>
    <w:p>
      <w:pPr>
        <w:spacing w:before="240" w:after="240"/>
        <w:rPr>
          <w:lang w:val="el" w:eastAsia="el"/>
        </w:rPr>
      </w:pPr>
      <w:r>
        <w:rPr>
          <w:lang w:val="el" w:eastAsia="el"/>
        </w:rPr>
        <w:t>1. Με τις διατάξεις του άρθρου 22 του ν. 4172/2013 ορίζεται ότι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 α) πραγματοποιούνται προς το συμφέρον της επιχείρησης ή κατά τις συνήθεις εμπορικές συναλλαγές της, β) 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 γ) 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2. Περαιτέρω, με τις διατάξεις της περ. β΄ του άρθρου 23 του ν. 4172/2013 ορίζεται ότι δεν εκπίπτει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3. Με το ΔΕΑΦΒ 1069397 ΕΞ2016/26.4.2016 έγγραφό μας έγινε δεκτό ότι για τη διευκόλυνση πλήθους συναλλαγών των καταναλωτών και λαμβανομένου υπόψη ότι η εξόφληση των υπόψη δαπανών στα ταμεία (γκισέ) των επιχειρήσεων δεν θέτει εν αμφιβόλω τη διενέργεια πραγματικής ως προς το ύψος συναλλαγής, αφού οι εν λόγω επιχειρήσεις εκδίδουν παραστατικά με βάση καθορισμένη τιμολογιακή πολιτική και γενικούς όρους συναλλαγών στους οποίους προσχωρεί ο καταναλωτής, οι δαπάνες για την προμήθεια ηλεκτρικού ρεύματος και νερού που εξοφλούνται στα ταμεία (γκισέ) των επιχειρήσεων καθώς και στα συμβεβλημένα καταστήματα που πραγματοποιούν εισπράξεις για λογαριασμό τους, εφόσον αποδεικνύονται από τα κατάλληλα δικαιολογητικά τα οποία φέρουν τα στοιχεία του πελάτη, αναγνωρίζονται φορολογικά ως εκπιπτόμενες επιχειρηματικές δαπάνες από το χρόνο έναρξης ισχύος του ν.4172/2013, μη εφαρμοζομένων των διατάξεων της περ. β’ του άρθρου 23 του ν. 4172/2013.</w:t>
      </w:r>
    </w:p>
    <w:p>
      <w:pPr>
        <w:spacing w:before="240" w:after="240"/>
        <w:rPr>
          <w:lang w:val="el" w:eastAsia="el"/>
        </w:rPr>
      </w:pPr>
      <w:r>
        <w:rPr>
          <w:lang w:val="el" w:eastAsia="el"/>
        </w:rPr>
        <w:t>4. Κατόπιν των ανωτέρω, με την παρούσα γίνεται δεκτό ότι τα οριζόμενα στο ΔΕΑΦΒ 1069397 ΕΞ2016/26.4.2016 έγγραφό μας έχουν ανάλογη εφαρμογή και για τις δαπάνες προμήθειας φυσικού αερίου που εξοφλούνται στα ταμεία (γκισέ) των επιχειρήσεων παροχής φυσικού αερίου, καθώς και στα συμβεβλημένα καταστήματα που πραγματοποιούν εισπράξεις για λογαριασμό τους, εφόσον αποδεικνύονται από τα κατάλληλα δικαιολογητικά τα οποία φέρουν τα στοιχεία του πελάτη, δεδομένου ότι και στην περίπτωση αυτή η ως άνω εξόφληση δεν θέτει εν αμφιβόλω τη διενέργεια πραγματικής ως προς το ύψος συναλλαγής, καθόσον οι υπόψη επιχειρήσεις εκδίδουν παραστατικά με βάση καθορισμένη τιμολογιακή πολιτική και γενικούς όρους συναλλαγών στους οποίους προσχωρεί ο καταναλωτής.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ΔΤΔ-Εγκεκριμένοι Οικονομικοί Φορείς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