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ΑΔΑ:6ΠΒ046ΜΠ3Ζ-1ΣΗ</w:t>
      </w:r>
    </w:p>
    <w:p>
      <w:pPr>
        <w:spacing w:before="240" w:after="240"/>
        <w:rPr>
          <w:lang w:val="el" w:eastAsia="el"/>
        </w:rPr>
      </w:pPr>
      <w:r>
        <w:rPr>
          <w:b/>
          <w:bCs/>
          <w:lang w:val="el" w:eastAsia="el"/>
        </w:rPr>
        <w:t>Αθήνα, 7 Μαΐου 2019</w:t>
      </w:r>
    </w:p>
    <w:p>
      <w:pPr>
        <w:spacing w:before="240" w:after="240"/>
        <w:rPr>
          <w:lang w:val="el" w:eastAsia="el"/>
        </w:rPr>
      </w:pPr>
      <w:r>
        <w:rPr>
          <w:b/>
          <w:bCs/>
          <w:lang w:val="el" w:eastAsia="el"/>
        </w:rPr>
        <w:t>Ε.2070</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των διατάξεων των άρθρων 74 και 77 του ΚΕΦ. Ε΄ του ν.4607/2019 (Α΄65/24-4- 2019)</w:t>
      </w:r>
      <w:r>
        <w:rPr>
          <w:lang w:val="el" w:eastAsia="el"/>
        </w:rPr>
        <w:t>.</w:t>
      </w:r>
    </w:p>
    <w:p>
      <w:pPr>
        <w:pStyle w:val="Heading6"/>
        <w:spacing w:before="240" w:after="240"/>
        <w:rPr>
          <w:lang w:val="el" w:eastAsia="el"/>
        </w:rPr>
      </w:pPr>
      <w:r>
        <w:rPr>
          <w:rStyle w:val="article-num"/>
          <w:b/>
          <w:bCs/>
          <w:lang w:val="el" w:eastAsia="el"/>
        </w:rPr>
        <w:t>Άρθρο 74</w:t>
      </w:r>
    </w:p>
    <w:p>
      <w:pPr>
        <w:spacing w:before="240" w:after="240"/>
        <w:rPr>
          <w:lang w:val="el" w:eastAsia="el"/>
        </w:rPr>
      </w:pPr>
      <w:r>
        <w:rPr>
          <w:lang w:val="el" w:eastAsia="el"/>
        </w:rPr>
        <w:t xml:space="preserve">Με τις ως άνω διατάξεις δίνεται η δυνατότητα, </w:t>
      </w:r>
      <w:r>
        <w:rPr>
          <w:b/>
          <w:bCs/>
          <w:lang w:val="el" w:eastAsia="el"/>
        </w:rPr>
        <w:t xml:space="preserve">εξαιρετικά για το έτος 2019, </w:t>
      </w:r>
      <w:r>
        <w:rPr>
          <w:lang w:val="el" w:eastAsia="el"/>
        </w:rPr>
        <w:t>καταβολής αναλογικών τελών κυκλοφορίας για τους μήνες που υπολείπονται μέχρι το τέλος του έτους, από κατόχους ΙΧ οχημάτων, αυτοκινήτων ή μοτοσυκλετών, τα οποία είτε έχουν τεθεί από αυτούς σε εκούσια ακινησία, είτε βρίσκονται για άλλους λόγους σε κατάσταση αναγκαστικής ακινησίας.</w:t>
      </w:r>
    </w:p>
    <w:p>
      <w:pPr>
        <w:spacing w:before="240" w:after="240"/>
        <w:rPr>
          <w:lang w:val="el" w:eastAsia="el"/>
        </w:rPr>
      </w:pPr>
      <w:r>
        <w:rPr>
          <w:lang w:val="el" w:eastAsia="el"/>
        </w:rPr>
        <w:t xml:space="preserve">Α. Στην περίπτωση </w:t>
      </w:r>
      <w:r>
        <w:rPr>
          <w:b/>
          <w:bCs/>
          <w:lang w:val="el" w:eastAsia="el"/>
        </w:rPr>
        <w:t xml:space="preserve">εκούσιας ακινησίας, </w:t>
      </w:r>
      <w:r>
        <w:rPr>
          <w:lang w:val="el" w:eastAsia="el"/>
        </w:rPr>
        <w:t>οι κάτοχοι δύνανται να άρουν την ακινησία αυτή καταβάλλοντας τέλη κυκλοφορίας ανάλογα με την διάρκεια κυκλοφορίας, ως εξής:</w:t>
      </w:r>
    </w:p>
    <w:p>
      <w:pPr>
        <w:pStyle w:val="StructureList1"/>
        <w:spacing w:before="120" w:after="0"/>
        <w:rPr>
          <w:lang w:val="el" w:eastAsia="el"/>
        </w:rPr>
      </w:pPr>
      <w:r>
        <w:rPr>
          <w:lang w:val="el" w:eastAsia="el"/>
        </w:rPr>
        <w:t>α)</w:t>
      </w:r>
      <w:r>
        <w:rPr>
          <w:lang w:val="en" w:eastAsia="en"/>
        </w:rPr>
        <w:tab/>
      </w:r>
      <w:r>
        <w:rPr>
          <w:lang w:val="el" w:eastAsia="el"/>
        </w:rPr>
        <w:t xml:space="preserve">για άρση ακινησίας χρονικής </w:t>
      </w:r>
      <w:r>
        <w:rPr>
          <w:b/>
          <w:bCs/>
          <w:lang w:val="el" w:eastAsia="el"/>
        </w:rPr>
        <w:t>διάρκειας 1 μηνός</w:t>
      </w:r>
      <w:r>
        <w:rPr>
          <w:lang w:val="el" w:eastAsia="el"/>
        </w:rPr>
        <w:t xml:space="preserve">, καταβάλλονται τα </w:t>
      </w:r>
      <w:r>
        <w:rPr>
          <w:b/>
          <w:bCs/>
          <w:lang w:val="el" w:eastAsia="el"/>
        </w:rPr>
        <w:t xml:space="preserve">2/12 </w:t>
      </w:r>
      <w:r>
        <w:rPr>
          <w:lang w:val="el" w:eastAsia="el"/>
        </w:rPr>
        <w:t>των αναλογούντων στο όχημα ετήσιων τελών κυκλοφορίας</w:t>
      </w:r>
    </w:p>
    <w:p>
      <w:pPr>
        <w:pStyle w:val="StructureList1"/>
        <w:spacing w:before="120" w:after="0"/>
        <w:rPr>
          <w:lang w:val="el" w:eastAsia="el"/>
        </w:rPr>
      </w:pPr>
      <w:r>
        <w:rPr>
          <w:lang w:val="el" w:eastAsia="el"/>
        </w:rPr>
        <w:t>β)</w:t>
      </w:r>
      <w:r>
        <w:rPr>
          <w:lang w:val="en" w:eastAsia="en"/>
        </w:rPr>
        <w:tab/>
      </w:r>
      <w:r>
        <w:rPr>
          <w:lang w:val="el" w:eastAsia="el"/>
        </w:rPr>
        <w:t xml:space="preserve">για άρση ακινησίας χρονικής </w:t>
      </w:r>
      <w:r>
        <w:rPr>
          <w:b/>
          <w:bCs/>
          <w:lang w:val="el" w:eastAsia="el"/>
        </w:rPr>
        <w:t>διάρκειας 3 μηνών</w:t>
      </w:r>
      <w:r>
        <w:rPr>
          <w:lang w:val="el" w:eastAsia="el"/>
        </w:rPr>
        <w:t xml:space="preserve">, καταβάλλονται τα </w:t>
      </w:r>
      <w:r>
        <w:rPr>
          <w:b/>
          <w:bCs/>
          <w:lang w:val="el" w:eastAsia="el"/>
        </w:rPr>
        <w:t xml:space="preserve">4/12 </w:t>
      </w:r>
      <w:r>
        <w:rPr>
          <w:lang w:val="el" w:eastAsia="el"/>
        </w:rPr>
        <w:t>του ποσού των αναλογούντων στο όχημα ετήσιων τελών κυκλοφορίας</w:t>
      </w:r>
    </w:p>
    <w:p>
      <w:pPr>
        <w:pStyle w:val="StructureList1"/>
        <w:spacing w:before="120" w:after="0"/>
        <w:rPr>
          <w:lang w:val="el" w:eastAsia="el"/>
        </w:rPr>
      </w:pPr>
      <w:r>
        <w:rPr>
          <w:lang w:val="el" w:eastAsia="el"/>
        </w:rPr>
        <w:t>γ)</w:t>
      </w:r>
      <w:r>
        <w:rPr>
          <w:lang w:val="en" w:eastAsia="en"/>
        </w:rPr>
        <w:tab/>
      </w:r>
      <w:r>
        <w:rPr>
          <w:lang w:val="el" w:eastAsia="el"/>
        </w:rPr>
        <w:t xml:space="preserve">για άρση ακινησίας </w:t>
      </w:r>
      <w:r>
        <w:rPr>
          <w:b/>
          <w:bCs/>
          <w:lang w:val="el" w:eastAsia="el"/>
        </w:rPr>
        <w:t xml:space="preserve">για το υπόλοιπο διάστημα του έτους </w:t>
      </w:r>
      <w:r>
        <w:rPr>
          <w:lang w:val="el" w:eastAsia="el"/>
        </w:rPr>
        <w:t xml:space="preserve">και μέχρι το τέλος αυτού (31.12.2019), καταβάλλονται τα δωδέκατα του ποσού των αναλογούντων στο όχημα ετήσιων τελών κυκλοφορίας που απομένουν από την ημερομηνία της άρσης μέχρι και το τέλος του έτους </w:t>
      </w:r>
      <w:r>
        <w:rPr>
          <w:b/>
          <w:bCs/>
          <w:lang w:val="el" w:eastAsia="el"/>
        </w:rPr>
        <w:t xml:space="preserve">συν 2/12 </w:t>
      </w:r>
      <w:r>
        <w:rPr>
          <w:lang w:val="el" w:eastAsia="el"/>
        </w:rPr>
        <w:t>των αναλογούντων ετήσιων τελών.</w:t>
      </w:r>
    </w:p>
    <w:p>
      <w:pPr>
        <w:spacing w:before="240" w:after="240"/>
        <w:rPr>
          <w:lang w:val="el" w:eastAsia="el"/>
        </w:rPr>
      </w:pPr>
      <w:r>
        <w:rPr>
          <w:lang w:val="el" w:eastAsia="el"/>
        </w:rPr>
        <w:t xml:space="preserve">Β. Στην περίπτωση </w:t>
      </w:r>
      <w:r>
        <w:rPr>
          <w:b/>
          <w:bCs/>
          <w:lang w:val="el" w:eastAsia="el"/>
        </w:rPr>
        <w:t xml:space="preserve">άρσης αναγκαστικής ακινησίας, </w:t>
      </w:r>
      <w:r>
        <w:rPr>
          <w:lang w:val="el" w:eastAsia="el"/>
        </w:rPr>
        <w:t>οι κάτοχοι μπορούν να καταβάλλουν αναλογικά τα τέλη κυκλοφορίας για τους μήνες που υπολείπονται μέχρι το τέλος του έτους 2019.</w:t>
      </w:r>
    </w:p>
    <w:p>
      <w:pPr>
        <w:spacing w:before="240" w:after="240"/>
        <w:rPr>
          <w:lang w:val="el" w:eastAsia="el"/>
        </w:rPr>
      </w:pPr>
      <w:r>
        <w:rPr>
          <w:lang w:val="el" w:eastAsia="el"/>
        </w:rPr>
        <w:t>Η καταβολή αυτή για να είναι εμπρόθεσμη πρέπει να γίνει εντός 15 ημερών από την ημερομηνία που έλαβε χώρα το γεγονός που ήρε την ακινησία.</w:t>
      </w:r>
    </w:p>
    <w:p>
      <w:pPr>
        <w:spacing w:before="240" w:after="240"/>
        <w:rPr>
          <w:lang w:val="el" w:eastAsia="el"/>
        </w:rPr>
      </w:pPr>
      <w:r>
        <w:rPr>
          <w:lang w:val="el" w:eastAsia="el"/>
        </w:rPr>
        <w:t>Κατά τα λοιπά ισχύουν οι οδηγίες που σας δόθηκαν με την ΠΟΛ.1128/5-7-2018 εγκύκλιο του Διοικητή της ΑΑΔΕ.</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lang w:val="el" w:eastAsia="el"/>
        </w:rPr>
        <w:t>Με την παρ. 2 του άρθρου 77 του ν. 4607/2019 (Α΄65), παρέχεται, ειδικά για το έτος 2019, η έκπτωση δέκα τοις εκατό (10%), εφόσον μέχρι 18.5.2019 για όσα πλοία βρίσκονται στα ελληνικά χωρικά ύδατα και μέχρι 31.5.2019 για τα εισερχόμενα στα ελληνικά χωρικά ύδατα, καταβληθεί το ποσό του ΤΕΠΑΗ που οφείλεται για τους μήνες Μάιο έως και Δεκέμβριο 2019.</w:t>
      </w:r>
    </w:p>
    <w:p>
      <w:pPr>
        <w:spacing w:before="240" w:after="240"/>
        <w:rPr>
          <w:lang w:val="el" w:eastAsia="el"/>
        </w:rPr>
      </w:pPr>
      <w:r>
        <w:rPr>
          <w:lang w:val="el" w:eastAsia="el"/>
        </w:rPr>
        <w:t>Με την παρ. 4 του άρθρου 77 του ίδιου νόμου, ορίζεται ότι τα πλοία που αναχωρούν από την Ελληνική Επικράτεια εντός τριών (3) ημερών από τη λήξη του μήνα για τον οποίο έχει καταβληθεί ΤΕΠΑΗ, δεν υποχρεούνται σε καταβολή ΤΕΠΑΗ για τον μήνα αναχώρησής τους.</w:t>
      </w:r>
    </w:p>
    <w:p>
      <w:pPr>
        <w:spacing w:before="240" w:after="240"/>
        <w:rPr>
          <w:lang w:val="el" w:eastAsia="el"/>
        </w:rPr>
      </w:pPr>
      <w:r>
        <w:rPr>
          <w:lang w:val="el" w:eastAsia="el"/>
        </w:rPr>
        <w:t>Σε περίπτωση που τα πλοία δεν αναχωρούν εντός της ως άνω τριήμερης προθεσμίας, το ΤΕΠΑΗ οφείλεται και αποδίδεται κατά τα οριζόμενα στο αρ.2 της ΚΥΑ ΠΟΛ.1210/2018.</w:t>
      </w:r>
    </w:p>
    <w:p>
      <w:pPr>
        <w:spacing w:before="240" w:after="240"/>
        <w:rPr>
          <w:lang w:val="el" w:eastAsia="el"/>
        </w:rPr>
      </w:pPr>
      <w:r>
        <w:rPr>
          <w:lang w:val="el" w:eastAsia="el"/>
        </w:rPr>
        <w:t>Ο ΔΙΟΙΚΗΤΗΣ ΤΗΣ ΑΑΔΕΓΕΩΡΓΙΟΣ ΠΙΤΣΙΛΗΣ</w:t>
      </w:r>
    </w:p>
    <w:p>
      <w:pPr>
        <w:spacing w:before="240" w:after="240"/>
        <w:rPr>
          <w:lang w:val="el" w:eastAsia="el"/>
        </w:rPr>
      </w:pPr>
      <w:r>
        <w:rPr>
          <w:b/>
          <w:bCs/>
          <w:u w:val="single"/>
          <w:lang w:val="el" w:eastAsia="el"/>
        </w:rPr>
        <w:t xml:space="preserve">ΠΙΝΑΚΑΣ ΔΙΑΝΟΜΗΣ </w:t>
      </w:r>
      <w:r>
        <w:rPr>
          <w:u w:val="single"/>
          <w:lang w:val="el" w:eastAsia="el"/>
        </w:rPr>
        <w:t>:</w:t>
      </w:r>
    </w:p>
    <w:p>
      <w:pPr>
        <w:spacing w:before="240" w:after="240"/>
        <w:rPr>
          <w:lang w:val="el" w:eastAsia="el"/>
        </w:rPr>
      </w:pPr>
      <w:r>
        <w:rPr>
          <w:b/>
          <w:bCs/>
          <w:lang w:val="el" w:eastAsia="el"/>
        </w:rPr>
        <w:t xml:space="preserve">ΑΠΟΔΕΚΤΕΣ ΓΙΑ ΕΝΕΡΓΕΙΑ: </w:t>
      </w:r>
      <w:r>
        <w:rPr>
          <w:lang w:val="el" w:eastAsia="el"/>
        </w:rPr>
        <w:t>Όλες οι Δ.Ο.Υ.</w:t>
      </w:r>
    </w:p>
    <w:p>
      <w:pPr>
        <w:spacing w:before="240" w:after="240"/>
        <w:rPr>
          <w:lang w:val="el" w:eastAsia="el"/>
        </w:rPr>
      </w:pPr>
      <w:r>
        <w:rPr>
          <w:b/>
          <w:bCs/>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Περιοδικό «Φορολογική Επιθεώρηση»</w:t>
      </w:r>
    </w:p>
    <w:p>
      <w:pPr>
        <w:pStyle w:val="MainText"/>
        <w:spacing w:before="120" w:after="0"/>
        <w:rPr>
          <w:lang w:val="el" w:eastAsia="el"/>
        </w:rPr>
      </w:pPr>
      <w:r>
        <w:rPr>
          <w:b/>
          <w:bCs/>
          <w:lang w:val="el" w:eastAsia="el"/>
        </w:rPr>
        <w:t>4.</w:t>
      </w:r>
      <w:r>
        <w:rPr>
          <w:lang w:val="el" w:eastAsia="el"/>
        </w:rPr>
        <w:t xml:space="preserve"> Ηλεκτρονική βιβλιοθήκη ΑΑΔΕ</w:t>
      </w:r>
    </w:p>
    <w:p>
      <w:pPr>
        <w:spacing w:before="240" w:after="240"/>
        <w:rPr>
          <w:lang w:val="el" w:eastAsia="el"/>
        </w:rPr>
      </w:pP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Γεν. Διευθυντή Φορολογικής Διοίκησης</w:t>
      </w:r>
    </w:p>
    <w:p>
      <w:pPr>
        <w:pStyle w:val="MainText"/>
        <w:spacing w:before="120" w:after="0"/>
        <w:rPr>
          <w:lang w:val="el" w:eastAsia="el"/>
        </w:rPr>
      </w:pPr>
      <w:r>
        <w:rPr>
          <w:b/>
          <w:bCs/>
          <w:lang w:val="el" w:eastAsia="el"/>
        </w:rPr>
        <w:t>3.</w:t>
      </w:r>
      <w:r>
        <w:rPr>
          <w:lang w:val="el" w:eastAsia="el"/>
        </w:rPr>
        <w:t xml:space="preserve"> Γραφεία κ.κ. Γενικών Δ/ντών</w:t>
      </w:r>
    </w:p>
    <w:p>
      <w:pPr>
        <w:pStyle w:val="MainText"/>
        <w:spacing w:before="120" w:after="0"/>
        <w:rPr>
          <w:lang w:val="el" w:eastAsia="el"/>
        </w:rPr>
      </w:pPr>
      <w:r>
        <w:rPr>
          <w:b/>
          <w:bCs/>
          <w:lang w:val="el" w:eastAsia="el"/>
        </w:rPr>
        <w:t>4.</w:t>
      </w:r>
      <w:r>
        <w:rPr>
          <w:lang w:val="el" w:eastAsia="el"/>
        </w:rPr>
        <w:t xml:space="preserve"> Δ/νση Διαχείρισης Ανθρωπίνου Δυναμικού</w:t>
      </w:r>
    </w:p>
    <w:p>
      <w:pPr>
        <w:pStyle w:val="MainText"/>
        <w:spacing w:before="120" w:after="0"/>
        <w:rPr>
          <w:lang w:val="el" w:eastAsia="el"/>
        </w:rPr>
      </w:pPr>
      <w:r>
        <w:rPr>
          <w:b/>
          <w:bCs/>
          <w:lang w:val="el" w:eastAsia="el"/>
        </w:rPr>
        <w:t>5.</w:t>
      </w:r>
      <w:r>
        <w:rPr>
          <w:lang w:val="el" w:eastAsia="el"/>
        </w:rPr>
        <w:t xml:space="preserve"> Δ/νση Ηλεκτρονικής Διακυβέρνησης ΑΑΔΕ</w:t>
      </w:r>
    </w:p>
    <w:p>
      <w:pPr>
        <w:pStyle w:val="MainText"/>
        <w:spacing w:before="120" w:after="0"/>
        <w:rPr>
          <w:lang w:val="el" w:eastAsia="el"/>
        </w:rPr>
      </w:pPr>
      <w:r>
        <w:rPr>
          <w:b/>
          <w:bCs/>
          <w:lang w:val="el" w:eastAsia="el"/>
        </w:rPr>
        <w:t>6.</w:t>
      </w:r>
      <w:r>
        <w:rPr>
          <w:lang w:val="el" w:eastAsia="el"/>
        </w:rPr>
        <w:t xml:space="preserve"> Δ/νση Υποστήριξης Ηλεκτρονικών Υπηρεσιών</w:t>
      </w:r>
    </w:p>
    <w:p>
      <w:pPr>
        <w:pStyle w:val="MainText"/>
        <w:spacing w:before="120" w:after="0"/>
        <w:rPr>
          <w:lang w:val="el" w:eastAsia="el"/>
        </w:rPr>
      </w:pPr>
      <w:r>
        <w:rPr>
          <w:b/>
          <w:bCs/>
          <w:lang w:val="el" w:eastAsia="el"/>
        </w:rPr>
        <w:t>7.</w:t>
      </w:r>
      <w:r>
        <w:rPr>
          <w:lang w:val="el" w:eastAsia="el"/>
        </w:rPr>
        <w:t xml:space="preserve"> Δ/νση Νομικής Υποστήριξης ΑΑΔΕ</w:t>
      </w:r>
    </w:p>
    <w:p>
      <w:pPr>
        <w:pStyle w:val="MainText"/>
        <w:spacing w:before="120" w:after="0"/>
        <w:rPr>
          <w:lang w:val="el" w:eastAsia="el"/>
        </w:rPr>
      </w:pPr>
      <w:r>
        <w:rPr>
          <w:b/>
          <w:bCs/>
          <w:lang w:val="el" w:eastAsia="el"/>
        </w:rPr>
        <w:t>8.</w:t>
      </w:r>
      <w:r>
        <w:rPr>
          <w:lang w:val="el" w:eastAsia="el"/>
        </w:rPr>
        <w:t xml:space="preserve"> Όλες οι Φορολογικές Περιφέρειες</w:t>
      </w:r>
    </w:p>
    <w:p>
      <w:pPr>
        <w:pStyle w:val="MainText"/>
        <w:spacing w:before="120" w:after="0"/>
        <w:rPr>
          <w:lang w:val="el" w:eastAsia="el"/>
        </w:rPr>
      </w:pPr>
      <w:r>
        <w:rPr>
          <w:b/>
          <w:bCs/>
          <w:lang w:val="el" w:eastAsia="el"/>
        </w:rPr>
        <w:t>9.</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11.</w:t>
      </w:r>
      <w:r>
        <w:rPr>
          <w:lang w:val="el" w:eastAsia="el"/>
        </w:rPr>
        <w:t xml:space="preserve">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