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ΗΛΕΚΤΡΟΝΙΚΗΣ ΔΙΑΚΥΒΕΡΝΗΣΗΣ ΚΑΙ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:K.Σερβίας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Μ.Χ. Λόη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Ράλλη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:2103375-150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:2103375-555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:2103375071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m.ralli@aade.gr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 .aade 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«</w:t>
      </w:r>
      <w:r>
        <w:rPr>
          <w:b/>
          <w:bCs/>
          <w:lang w:val="el" w:eastAsia="el"/>
        </w:rPr>
        <w:t xml:space="preserve">Υπηρεσιακές Ταυτότητες των Υπαλλήλων της Ανεξάρτητης Αρχής Δημοσίων Εσόδων (Α.Α.Δ.Ε.) </w:t>
      </w:r>
      <w:r>
        <w:rPr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το παρόν σας κοινοποιούμε την υπ’ αρ. πρωτ. ΔΔΑΔ Α’1076821ΕΞ2019/24.5.2019 (ΑΔΑ: ΨΕΨΠ46ΜΠ3Ζ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6ΡΞ) Απόφαση του Διοικητή της Α.Α.Δ.Ε με θέμα: «Καθορισμός Τύπου και Περιεχομένου των δελτίων Υπηρεσιακών Ταυτοτήτων των Υπαλλήλων της Ανεξάρτητης Αρχής Δημοσίων Εσόδων (Α.Α.Δ.Ε.)», η οποία δημοσιεύθηκε στο ΦΕΚ:2091 Β’/5.6.2019. Θα ακολουθήσουν Έγγραφες Οδηγίες της Υπηρεσίας μας.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Προϊστάμενοι των Υπηρεσιών που αναφέρονται στον Πίνακα Διανομής παρακαλούνται να μεριμνήσουν ώστε να λάβουν γνώση ενυπόγραφα όλοι οι υπάλληλοι.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ΕΝΤΟΛΗ ΔΙΟΙΚΗΤΗ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ΠΡΟΪΣΤΑΜΕΝOΣ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ΔΙΑΧΕΙΡΙΣΗΣ ΑΝΘΡΩΠΙΝΟΥ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ΑΘΑΝΑΣΙΟΣ ΜΑΡΡΑΣ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ΑΠΟΔΕΚΤΕΣ ΠΙΝΑΚΑ Α 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(Διευθύνσεις, Αυτοτελή Τμήματα και Αυτοτελή Γραφεία της Κ.Υ.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Διευθύνσεις, Αυτοτελή Τμήματα και Αυτοτελή Γραφεία της Κεντρικής Υπηρεσίας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Γραφεία Υπηρεσιακών Συμβουλίων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Γραμματείς Πειθαρχικών Συμβουλίων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Ειδικό Νομικό Γραφείο Δημοσίων Εσόδων (Ε.Ν.Γ.Δ.Ε.)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ΑΠΟΔΕΚΤΕΣ ΠΙΝΑΚΑ Β’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(Ειδικές Αποκεντρωμένες &amp; Περιφερειακές Υπηρεσίες υπαγόμενες στον Διοικητή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Διεύθυνση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Διεύθυνση Εσωτερικού Ελέγχου-Τμήμα Δ’(Θεσσαλονίκη)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Εσωτερικών Υποθέσεων (Δ.ΕΣ.ΥΠ.)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Υποδιεύθυνση (Θεσσαλονίκη)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Γραφεία Εσωτερικών Υποθέσεων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Επίλυσης Διαφορών (Δ.Ε.Δ.)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Διεύθυνση Επίλυσης Διαφορών (Δ.Ε.Δ.) - Υποδιεύθυνση Επανεξέτασης και Νομικής Υποστήριξης (Θεσσαλονίκη)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Προγραμματισμού και Αξιολόγησης Ελέγχων και Ερευνών (ΔΙ.Π.Α.Ε.Ε.)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Υπηρεσίες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ΑΠΟΔΕΚΤΕΣ ΠΙΝΑΚΑ Γ’́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(Ειδικές Αποκεντρωμένες &amp; Περιφερειακές Φορολογικές Υπηρεσίες)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Επιχειρησιακή Μονάδα Είσπραξης(Ε.Μ.ΕΙΣ.)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Κέντρο Ελέγχου Φορολογουμένων Μεγάλου Πλούτου (Κ.Ε.ΦΟ.ΜΕ.Π.)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Κέντρο Ελέγχου Μεγάλων Επιχειρήσεων (Κ.Ε.ΜΕ.ΕΠ.)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ΑΠΟΔΕΚΤΕΣ ΠΙΝΑΚΑ Δ’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(Ειδικές Αποκεντρωμένες &amp; Περιφερειακές Τελωνειακές Υπηρεσίες)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Ελεγκτικές Υπηρεσίες Τελωνείων (ΕΛ.Υ.Τ.)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Διαχείρισης Δημόσιου Υλικού (ΔΙ.Δ.Δ.Υ.)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Τελωνεία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ΑΠΟΔΕΚΤΕΣ ΠΙΝΑΚΑ Ε’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(Περιφερειακές Υπηρεσίες της Γενικής Διεύθυνσης του Γενικού Χημείου του Κράτους) Περιφερειακές Χημικές Υπηρεσίες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Γεν. Δ/νση Τελωνείων &amp; ΕΦΚ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Στρατηγικής Τελωνειακών Ελέγχων και Παραβάσεων – Τμήμα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Γεν. Δ/νση Ηλεκτρονικής Διακυβέρνησης &amp; Ανθρώπινου Δυναμικού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Διαχείρισης Ανθρώπινου Δυναμικού -Τμήμα Α’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.ralli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