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210 6987 401, 462 210 6987 408</w:t>
      </w:r>
    </w:p>
    <w:p>
      <w:pPr>
        <w:spacing w:before="240" w:after="240"/>
        <w:rPr>
          <w:lang w:val="el" w:eastAsia="el"/>
        </w:rPr>
      </w:pPr>
      <w:hyperlink r:id="rId4" w:history="1">
        <w:r>
          <w:rPr>
            <w:rStyle w:val="Hyperlink"/>
            <w:color w:val="0000EE"/>
            <w:u w:color="0000EE"/>
            <w:lang w:val="el" w:eastAsia="el"/>
          </w:rPr>
          <w:t>finexciis @ otenet.gr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Γνωμοδότησης υπ. αριθ. 47/2019 του Ν.Σ.Κ.</w:t>
      </w:r>
    </w:p>
    <w:p>
      <w:pPr>
        <w:spacing w:before="240" w:after="240"/>
        <w:rPr>
          <w:lang w:val="el" w:eastAsia="el"/>
        </w:rPr>
      </w:pPr>
      <w:r>
        <w:rPr>
          <w:lang w:val="el" w:eastAsia="el"/>
        </w:rPr>
        <w:t>Σας κοινοποιούμε για ενημέρωση και εφαρμογή την υπ. αρ. 47/2019 γνωμοδότηση του Νομικού Συμβουλίου του Κράτους, η οποία εξεδόθη κατόπιν σχετικών ερωτημάτων της Υπηρεσίας μας, όπως αυτά διαβιβάστηκαν από Τελωνεία και φορείς, αναφορικά με ερμηνευτικά θέματα για την επιστροφή του τέλους ταξινόμησης, σύμφωνα με τις διατάξεις του ν. 4002/2011 (ΦΕΚ 180/Α΄) για επιβατικά και φορτηγά αυτοκίνητα, τα οποία είχαν παραληφθεί, κατ΄ εφαρμογή των διατάξεων του ν.3899/2010 (ΦΕΚ 212/Α΄) και του ν. 3943/2011 (ΦΕΚ 66/Α΄), καθώς και της οριζόμενης διαδικασίας στην αρ. πρωτ. ΔΕΦΚ 5006718 ΕΞ 2011/11.2.2011 ΚΥΑ (ΦΕΚ 246/Α΄).</w:t>
      </w:r>
    </w:p>
    <w:p>
      <w:pPr>
        <w:spacing w:before="240" w:after="240"/>
        <w:rPr>
          <w:lang w:val="el" w:eastAsia="el"/>
        </w:rPr>
      </w:pPr>
      <w:r>
        <w:rPr>
          <w:lang w:val="el" w:eastAsia="el"/>
        </w:rPr>
        <w:t>Το Νομικό Συμβούλιο του Κράτους με την κοινοποιούμενη γνωμοδότηση, η οποία έγινε αποδεκτή από το Διοικητή της Α.Α.Δ.Ε. στις 2/7/2019, αποφάνθηκε τα εξής :</w:t>
      </w:r>
    </w:p>
    <w:p>
      <w:pPr>
        <w:spacing w:before="240" w:after="240"/>
        <w:rPr>
          <w:lang w:val="el" w:eastAsia="el"/>
        </w:rPr>
      </w:pPr>
      <w:r>
        <w:rPr>
          <w:lang w:val="el" w:eastAsia="el"/>
        </w:rPr>
        <w:t>1. Oι περιπτώσεις αυτοκινήτων για τα οποία το τέλος ταξινομήσεως, λόγω αποσύρσεως, βεβαιώθηκε πριν από την ημερομηνία ενάρξεως ισχύος των διατάξεων του άρθρου 20 παρ. 1 και 2 του ν.4002/2011, ήτοι πριν τις 22-8-2011, η δε είσπραξή του ανεστάλη και, στη συνέχεια, αυτό καταβλήθηκε ολόκληρο μετά την 22</w:t>
      </w:r>
      <w:r>
        <w:rPr>
          <w:sz w:val="30"/>
          <w:szCs w:val="30"/>
          <w:vertAlign w:val="superscript"/>
          <w:lang w:val="el" w:eastAsia="el"/>
        </w:rPr>
        <w:t>α</w:t>
      </w:r>
      <w:r>
        <w:rPr>
          <w:lang w:val="el" w:eastAsia="el"/>
        </w:rPr>
        <w:t>-8-2011, δεν εμπίπτουν στο πεδίο εφαρμογής των διατάξεων αυτών και ως εκ τούτου</w:t>
      </w:r>
      <w:r>
        <w:rPr>
          <w:i/>
          <w:iCs/>
          <w:lang w:val="el" w:eastAsia="el"/>
        </w:rPr>
        <w:t>, οι εκκρεμείς αιτήσεις επιστροφής του καταβληθέντος τέλους ταξινομήσεως</w:t>
      </w:r>
      <w:r>
        <w:rPr>
          <w:b/>
          <w:bCs/>
          <w:lang w:val="el" w:eastAsia="el"/>
        </w:rPr>
        <w:t xml:space="preserve"> δεν δύνανται να ικανοποιηθούν.</w:t>
      </w:r>
    </w:p>
    <w:p>
      <w:pPr>
        <w:spacing w:before="240" w:after="240"/>
        <w:rPr>
          <w:lang w:val="el" w:eastAsia="el"/>
        </w:rPr>
      </w:pPr>
      <w:r>
        <w:rPr>
          <w:lang w:val="el" w:eastAsia="el"/>
        </w:rPr>
        <w:t>2. Oι περιπτώσεις αυτοκινήτων για τα οποία το τέλος ταξινομήσεως λόγω αποσύρσεως βεβαιώθηκε μετά την ημερομηνία ενάρξεως ισχύος των διατάξεων του άρθρου 20 παρ. 1 και 2 του ν.4002/2011, ήτοι μετά την 22</w:t>
      </w:r>
      <w:r>
        <w:rPr>
          <w:sz w:val="30"/>
          <w:szCs w:val="30"/>
          <w:vertAlign w:val="superscript"/>
          <w:lang w:val="el" w:eastAsia="el"/>
        </w:rPr>
        <w:t>α</w:t>
      </w:r>
      <w:r>
        <w:rPr>
          <w:lang w:val="el" w:eastAsia="el"/>
        </w:rPr>
        <w:t>-8-2011, καταβλήθηκε άμεσα το μη απαλλασσόμενο μέρος αυτού, σύμφωνα με τις προαναφερθείσες διατάξεις, μετά την 22</w:t>
      </w:r>
      <w:r>
        <w:rPr>
          <w:sz w:val="30"/>
          <w:szCs w:val="30"/>
          <w:vertAlign w:val="superscript"/>
          <w:lang w:val="el" w:eastAsia="el"/>
        </w:rPr>
        <w:t>α</w:t>
      </w:r>
      <w:r>
        <w:rPr>
          <w:lang w:val="el" w:eastAsia="el"/>
        </w:rPr>
        <w:t xml:space="preserve">- 8-2011 και για τα οποία στη συνέχεια καταβλήθηκε η διαφορά του τέλους ταξινομήσεως εντός της προθεσμίας των έξι (6) μηνών, εμπίπτουν στο πεδίο εφαρμογής των προαναφερθέντων διατάξεων αυτών και ως εκ τούτου, </w:t>
      </w:r>
      <w:r>
        <w:rPr>
          <w:i/>
          <w:iCs/>
          <w:lang w:val="el" w:eastAsia="el"/>
        </w:rPr>
        <w:t>οι εκκρεμείς αιτήσεις επιστροφής του καταβληθέντος τέλους ταξινομήσεως</w:t>
      </w:r>
      <w:r>
        <w:rPr>
          <w:b/>
          <w:bCs/>
          <w:lang w:val="el" w:eastAsia="el"/>
        </w:rPr>
        <w:t xml:space="preserve"> δύνανται να ικανοποιηθούν </w:t>
      </w:r>
      <w:r>
        <w:rPr>
          <w:lang w:val="el" w:eastAsia="el"/>
        </w:rPr>
        <w:t>και</w:t>
      </w:r>
    </w:p>
    <w:p>
      <w:pPr>
        <w:spacing w:before="240" w:after="240"/>
        <w:rPr>
          <w:lang w:val="el" w:eastAsia="el"/>
        </w:rPr>
      </w:pPr>
      <w:r>
        <w:rPr>
          <w:lang w:val="el" w:eastAsia="el"/>
        </w:rPr>
        <w:t xml:space="preserve">3. οι περιπτώσεις αυτοκινήτων για τα οποία το τέλος ταξινομήσεως λόγω αποσύρσεως, βεβαιώθηκε ολόκληρο, καταβλήθηκε άμεσα το μη απαλλασσόμενο μέρος αυτού, σύμφωνα με τις προαναφερθείσες διατάξεις μετά τις 22-8-2011 και για τα οποία στη συνέχεια καταβλήθηκε η διαφορά του τέλους ταξινομήσεως, μετά την παρέλευση της προθεσμίας των έξι (6) μηνών με τις νόμιμες προσαυξήσεις εκπρόθεσμης καταβολής και την τήρηση των προβλεπόμενων κυρώσεων δεν εμπίπτουν στο πεδίο εφαρμογής των προαναφερθέντων διατάξεων αυτών και ως εκ τούτου, </w:t>
      </w:r>
      <w:r>
        <w:rPr>
          <w:i/>
          <w:iCs/>
          <w:lang w:val="el" w:eastAsia="el"/>
        </w:rPr>
        <w:t>οι εκκρεμείς αιτήσεις επιστροφής του καταβληθέντος τέλους ταξινομήσεως</w:t>
      </w:r>
      <w:r>
        <w:rPr>
          <w:b/>
          <w:bCs/>
          <w:lang w:val="el" w:eastAsia="el"/>
        </w:rPr>
        <w:t xml:space="preserve"> δεν δύνανται να ικανοποιηθούν</w:t>
      </w:r>
      <w:r>
        <w:rPr>
          <w:lang w:val="el" w:eastAsia="el"/>
        </w:rPr>
        <w:t>.</w:t>
      </w:r>
    </w:p>
    <w:p>
      <w:pPr>
        <w:spacing w:before="240" w:after="240"/>
        <w:rPr>
          <w:lang w:val="el" w:eastAsia="el"/>
        </w:rPr>
      </w:pPr>
      <w:r>
        <w:rPr>
          <w:lang w:val="el" w:eastAsia="el"/>
        </w:rPr>
        <w:t>Ως εκ τούτου στις ως άνω περιπτώσεις για τις οποίες δύνανται να ικανοποιηθούν οι εκκρεμείς αιτήσεις επιστροφής του τέλους ταξινόμησης, σας υπενθυμίζουμε ότι εφαρμογή έχουν οι διατάξεις της παρ. 1 του άρθρου 19 του ν.2873/2000 (ΦΕΚ 285 Α΄), σύμφωνα με το οποίο «Έμμεσοι φόροι που καταβλήθηκαν αχρεωστήτως ή παρά το νόμο δεν επιστρέφονται αν έχουν επιρριφθεί στην κατανάλωση. Το βάρος απόδειξης έχει εκείνος που ζητάει την επιστροφή».</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Η υπ. αριθ. 47/2019 Γνωμοδότηση του Ν.Σ.Κ.</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Β’ και Γ’ Τάξης</w:t>
      </w:r>
    </w:p>
    <w:p>
      <w:pPr>
        <w:spacing w:before="240" w:after="240"/>
        <w:rPr>
          <w:lang w:val="el" w:eastAsia="el"/>
        </w:rPr>
      </w:pPr>
      <w:r>
        <w:rPr>
          <w:lang w:val="el" w:eastAsia="el"/>
        </w:rPr>
        <w:t>3. Δ/νση Υποστήριξης Ηλεκτρονικών Υπηρεσιών (για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1. Γρ. Υπουργού Οικονομικών</w:t>
      </w:r>
    </w:p>
    <w:p>
      <w:pPr>
        <w:spacing w:before="240" w:after="240"/>
        <w:rPr>
          <w:lang w:val="el" w:eastAsia="el"/>
        </w:rPr>
      </w:pPr>
      <w:r>
        <w:rPr>
          <w:lang w:val="el" w:eastAsia="el"/>
        </w:rPr>
        <w:t>2. Γρ. Υφυπουργού Οικονομικών</w:t>
      </w:r>
    </w:p>
    <w:p>
      <w:pPr>
        <w:spacing w:before="240" w:after="240"/>
        <w:rPr>
          <w:lang w:val="el" w:eastAsia="el"/>
        </w:rPr>
      </w:pPr>
      <w:r>
        <w:rPr>
          <w:lang w:val="el" w:eastAsia="el"/>
        </w:rPr>
        <w:t>3. Λοιποί Αποδέκτες Πίνακα Γ’</w:t>
      </w:r>
    </w:p>
    <w:p>
      <w:pPr>
        <w:spacing w:before="240" w:after="240"/>
        <w:rPr>
          <w:lang w:val="el" w:eastAsia="el"/>
        </w:rPr>
      </w:pPr>
      <w:r>
        <w:rPr>
          <w:lang w:val="el" w:eastAsia="el"/>
        </w:rPr>
        <w:t>4. Νομικό Συμβούλιο του Κράτους α) Κεντρική Υπηρεσία, Τμήμα Μελετών, Ακαδημίας 68 και Χαρ. Τρικούπη, 106 78 Αθήνα β) Ειδικό Νομικό Γραφείο Δημοσίων Εσόδων – Τμήμα Α΄ (Φορολογικών &amp; Τελωνειακών Υποθέσεων), Ακαδημίας 68 και Χαρ. Τρικούπη, 106 78</w:t>
      </w:r>
    </w:p>
    <w:p>
      <w:pPr>
        <w:spacing w:before="240" w:after="240"/>
        <w:rPr>
          <w:lang w:val="el" w:eastAsia="el"/>
        </w:rPr>
      </w:pPr>
      <w:r>
        <w:rPr>
          <w:lang w:val="el" w:eastAsia="el"/>
        </w:rPr>
        <w:t>5. Υπηρεσία Ερευνών και Διασφάλισης Δημοσίων Εσόδων (Υ.Ε.Δ.Δ.Ε.)</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Ειδική Γραμματεία Σ.Δ.Ο.Ε.</w:t>
      </w:r>
    </w:p>
    <w:p>
      <w:pPr>
        <w:spacing w:before="240" w:after="240"/>
        <w:rPr>
          <w:lang w:val="el" w:eastAsia="el"/>
        </w:rPr>
      </w:pPr>
      <w:r>
        <w:rPr>
          <w:lang w:val="el" w:eastAsia="el"/>
        </w:rPr>
        <w:t>8. Περιφερειακές Επιχειρησιακές Δ/νσεις Δίωξης Οικονομικού Εγκλήματος</w:t>
      </w:r>
    </w:p>
    <w:p>
      <w:pPr>
        <w:spacing w:before="240" w:after="240"/>
        <w:rPr>
          <w:lang w:val="el" w:eastAsia="el"/>
        </w:rPr>
      </w:pPr>
      <w:r>
        <w:rPr>
          <w:lang w:val="el" w:eastAsia="el"/>
        </w:rPr>
        <w:t>9. Ελεγκτική Υπηρεσία Τελωνείων (ΕΛ.Υ.Τ.) Αττικής</w:t>
      </w:r>
    </w:p>
    <w:p>
      <w:pPr>
        <w:spacing w:before="240" w:after="240"/>
        <w:rPr>
          <w:lang w:val="el" w:eastAsia="el"/>
        </w:rPr>
      </w:pPr>
      <w:r>
        <w:rPr>
          <w:lang w:val="el" w:eastAsia="el"/>
        </w:rPr>
        <w:t>10. Ελεγκτική Υπηρεσία Τελωνείων (ΕΛ.Υ.Τ.) Θεσσαλονίκης</w:t>
      </w:r>
    </w:p>
    <w:p>
      <w:pPr>
        <w:spacing w:before="240" w:after="240"/>
        <w:rPr>
          <w:lang w:val="el" w:eastAsia="el"/>
        </w:rPr>
      </w:pPr>
      <w:r>
        <w:rPr>
          <w:lang w:val="el" w:eastAsia="el"/>
        </w:rPr>
        <w:t>11. Ελληνική Στατιστική Αρχή ΕΛ.ΣΤΑΤ</w:t>
      </w:r>
    </w:p>
    <w:p>
      <w:pPr>
        <w:spacing w:before="240" w:after="240"/>
        <w:rPr>
          <w:lang w:val="el" w:eastAsia="el"/>
        </w:rPr>
      </w:pPr>
      <w:r>
        <w:rPr>
          <w:lang w:val="el" w:eastAsia="el"/>
        </w:rPr>
        <w:t>12.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 γ) Δ/νση Ηλεκτρονικής Διακυβέρνησης</w:t>
      </w:r>
    </w:p>
    <w:p>
      <w:pPr>
        <w:spacing w:before="240" w:after="240"/>
        <w:rPr>
          <w:lang w:val="el" w:eastAsia="el"/>
        </w:rPr>
      </w:pPr>
      <w:r>
        <w:rPr>
          <w:lang w:val="el" w:eastAsia="el"/>
        </w:rPr>
        <w:t>13. Δ/νση Νομικής Υποστήριξης Α.Α.Δ.Ε.</w:t>
      </w:r>
    </w:p>
    <w:p>
      <w:pPr>
        <w:spacing w:before="240" w:after="240"/>
        <w:rPr>
          <w:lang w:val="el" w:eastAsia="el"/>
        </w:rPr>
      </w:pPr>
      <w:r>
        <w:rPr>
          <w:lang w:val="el" w:eastAsia="el"/>
        </w:rPr>
        <w:t>14. Αυτοτελές Τμήμα Συντονισμού Μεταρρυθμιστικών Δράσεων και Επικοινωνίας</w:t>
      </w:r>
    </w:p>
    <w:p>
      <w:pPr>
        <w:spacing w:before="240" w:after="240"/>
        <w:rPr>
          <w:lang w:val="el" w:eastAsia="el"/>
        </w:rPr>
      </w:pPr>
      <w:r>
        <w:rPr>
          <w:lang w:val="el" w:eastAsia="el"/>
        </w:rPr>
        <w:t>15.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16.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 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17.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18.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19.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20.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21. Σύνδεσμος Εισαγωγέων – Εμπόρων Μεταχειρισμένων Αυτοκινήτων – Μηχανημάτων &amp; Ανταλλακτικών Βάκχου 5, 546 29 Θεσσαλονίκη</w:t>
      </w:r>
    </w:p>
    <w:p>
      <w:pPr>
        <w:spacing w:before="240" w:after="240"/>
        <w:rPr>
          <w:lang w:val="el" w:eastAsia="el"/>
        </w:rPr>
      </w:pPr>
      <w:r>
        <w:rPr>
          <w:lang w:val="el" w:eastAsia="el"/>
        </w:rPr>
        <w:t>22.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23.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24.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25.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26.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27. Σύνδεσμος Τουριστικών Επιχειρήσεων Ενοικιάσεως Αυτοκινήτων</w:t>
      </w:r>
    </w:p>
    <w:p>
      <w:pPr>
        <w:spacing w:before="240" w:after="240"/>
        <w:rPr>
          <w:lang w:val="el" w:eastAsia="el"/>
        </w:rPr>
      </w:pPr>
      <w:r>
        <w:rPr>
          <w:lang w:val="el" w:eastAsia="el"/>
        </w:rPr>
        <w:t>Βιλτανιώτη 31, 145 64 Κηφισιά</w:t>
      </w:r>
    </w:p>
    <w:p>
      <w:pPr>
        <w:spacing w:before="240" w:after="240"/>
        <w:rPr>
          <w:lang w:val="el" w:eastAsia="el"/>
        </w:rPr>
      </w:pPr>
      <w:r>
        <w:rPr>
          <w:lang w:val="el" w:eastAsia="el"/>
        </w:rPr>
        <w:t>28.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Δ/νση Ηλεκτρονικού Τελωνείου</w:t>
      </w:r>
    </w:p>
    <w:p>
      <w:pPr>
        <w:spacing w:before="240" w:after="240"/>
        <w:rPr>
          <w:lang w:val="el" w:eastAsia="el"/>
        </w:rPr>
      </w:pPr>
      <w:r>
        <w:rPr>
          <w:lang w:val="el" w:eastAsia="el"/>
        </w:rPr>
        <w:t>6. Δ/νση Δασμολογικών Θεμάτων &amp; Ειδικών Καθεστώτων Απαλλαγών</w:t>
      </w:r>
    </w:p>
    <w:p>
      <w:pPr>
        <w:spacing w:before="240" w:after="240"/>
        <w:rPr>
          <w:lang w:val="el" w:eastAsia="el"/>
        </w:rPr>
      </w:pPr>
      <w:r>
        <w:rPr>
          <w:lang w:val="el" w:eastAsia="el"/>
        </w:rPr>
        <w:t>7. Δ/νση Ε.Φ.Κ. &amp; Φ.Π.Α. - Τμήματα Α΄, Β΄, Γ΄ Δ΄,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