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ΕΙΣΠΡΑΞΕΩΝ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Αριθ. Πρωτ.: </w:t>
      </w:r>
      <w:r>
        <w:rPr>
          <w:b/>
          <w:bCs/>
          <w:lang w:val="el" w:eastAsia="el"/>
        </w:rPr>
        <w:t>Ε 2164</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Url</w:t>
      </w:r>
    </w:p>
    <w:p>
      <w:pPr>
        <w:spacing w:before="240" w:after="240"/>
        <w:rPr>
          <w:lang w:val="el" w:eastAsia="el"/>
        </w:rPr>
      </w:pPr>
      <w:r>
        <w:rPr>
          <w:lang w:val="el" w:eastAsia="el"/>
        </w:rPr>
        <w:t>Κ. Σερβίας 10 101 84 Αθήνα</w:t>
      </w:r>
    </w:p>
    <w:p>
      <w:pPr>
        <w:spacing w:before="240" w:after="240"/>
        <w:rPr>
          <w:lang w:val="el" w:eastAsia="el"/>
        </w:rPr>
      </w:pPr>
      <w:r>
        <w:rPr>
          <w:lang w:val="el" w:eastAsia="el"/>
        </w:rPr>
        <w:t xml:space="preserve">210 3636059 210 3390470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 xml:space="preserve">ΘΕΜΑ: </w:t>
      </w:r>
      <w:r>
        <w:rPr>
          <w:b/>
          <w:bCs/>
          <w:i/>
          <w:iCs/>
          <w:lang w:val="el" w:eastAsia="el"/>
        </w:rPr>
        <w:t>«Παροχή Οδηγιών μετά την Κοινοποίηση της Γνωμοδότησης 107/2019 του ΝΣΚ και της σχετικής Εγκυκλίου του Υπουργείου Οικονομίας &amp; Ανάπτυξης»</w:t>
      </w:r>
    </w:p>
    <w:p>
      <w:pPr>
        <w:spacing w:before="240" w:after="240"/>
        <w:rPr>
          <w:lang w:val="el" w:eastAsia="el"/>
        </w:rPr>
      </w:pPr>
      <w:r>
        <w:rPr>
          <w:b/>
          <w:bCs/>
          <w:i/>
          <w:iCs/>
          <w:lang w:val="el" w:eastAsia="el"/>
        </w:rPr>
        <w:t>(</w:t>
      </w:r>
      <w:r>
        <w:rPr>
          <w:b/>
          <w:bCs/>
          <w:i/>
          <w:iCs/>
          <w:lang w:val="el" w:eastAsia="el"/>
        </w:rPr>
        <w:t>Σχετ. Έγγρ.: Δ.ΕΙΣΠΡ. Α 1089483 ΕΙ/21-6-2019)</w:t>
      </w:r>
    </w:p>
    <w:p>
      <w:pPr>
        <w:spacing w:before="240" w:after="240"/>
        <w:rPr>
          <w:lang w:val="el" w:eastAsia="el"/>
        </w:rPr>
      </w:pPr>
      <w:r>
        <w:rPr>
          <w:lang w:val="el" w:eastAsia="el"/>
        </w:rPr>
        <w:t>Σε συνέχεια κοινοποίησης της αριθμ. 107/2019 γνωμοδότησης του Β΄ Τμήματος του Νομικού Συμβουλίου του Κράτους, μετά την αποδοχή της από τον Αν. Υπουργό Οικονομίας και Ανάπτυξης, καθώς και της σχετικής εγκυκλίου του Υπουργείου Οικονομίας και Ανάπτυξης, αναφορικά με θέματα ερμηνείας των διατάξεων του άρθρου 26 του ν. 4177/2013 «Κανόνες διακίνησης και αγοράς προϊόντων και παροχή υπηρεσιών …» (ΦΕΚ 173 Τ. Α΄) σας γνωστοποιούμε τα ακόλουθα:</w:t>
      </w:r>
    </w:p>
    <w:p>
      <w:pPr>
        <w:pStyle w:val="StructureList1"/>
        <w:spacing w:before="120" w:after="0"/>
        <w:rPr>
          <w:lang w:val="el" w:eastAsia="el"/>
        </w:rPr>
      </w:pPr>
      <w:r>
        <w:rPr>
          <w:lang w:val="el" w:eastAsia="el"/>
        </w:rPr>
        <w:t>α)</w:t>
      </w:r>
      <w:r>
        <w:rPr>
          <w:lang w:val="en" w:eastAsia="en"/>
        </w:rPr>
        <w:tab/>
      </w:r>
      <w:r>
        <w:rPr>
          <w:i/>
          <w:iCs/>
          <w:lang w:val="el" w:eastAsia="el"/>
        </w:rPr>
        <w:t xml:space="preserve"> Τα διοικητικά πρόστιμα των άρθρων 20, 22, 24, 25, και 26 του ν. 4177/2019 εισπράττονται σύμφωνα με τον Κώδικα Είσπραξης Δημοσίων Εσόδων (Κ.Ε.Δ.Ε – Ν.Δ. 356/1974 και </w:t>
      </w:r>
      <w:r>
        <w:rPr>
          <w:b/>
          <w:bCs/>
          <w:i/>
          <w:iCs/>
          <w:u w:val="single"/>
          <w:lang w:val="el" w:eastAsia="el"/>
        </w:rPr>
        <w:t>αποδίδονται στον Κρατικό Προϋπολογισμό, με την επιφύλαξη των διατάξεων της παραγράφου 1 άρθρου 16 του ν. 2946/2001 (ΦΕΚ 224 Τ.Α΄.</w:t>
      </w:r>
      <w:r>
        <w:rPr>
          <w:i/>
          <w:iCs/>
          <w:lang w:val="el" w:eastAsia="el"/>
        </w:rPr>
        <w:t xml:space="preserve"> και την κατ’ εξουσιοδότηση αυτής υπ’ αριθμ. </w:t>
      </w:r>
      <w:r>
        <w:rPr>
          <w:b/>
          <w:bCs/>
          <w:i/>
          <w:iCs/>
          <w:lang w:val="el" w:eastAsia="el"/>
        </w:rPr>
        <w:t>31404/2005 (Β΄868/2005) Κ.Υ.Α</w:t>
      </w:r>
      <w:r>
        <w:rPr>
          <w:i/>
          <w:iCs/>
          <w:lang w:val="el" w:eastAsia="el"/>
        </w:rPr>
        <w:t xml:space="preserve"> των Υπουργών Οικονομικών και Εσωτερικών Δημόσιας Διοίκησης και Αποκέντρωσης.</w:t>
      </w:r>
    </w:p>
    <w:p>
      <w:pPr>
        <w:pStyle w:val="StructureList1"/>
        <w:spacing w:before="120" w:after="0"/>
        <w:rPr>
          <w:lang w:val="el" w:eastAsia="el"/>
        </w:rPr>
      </w:pPr>
      <w:r>
        <w:rPr>
          <w:i/>
          <w:iCs/>
          <w:lang w:val="el" w:eastAsia="el"/>
        </w:rPr>
        <w:t>β)</w:t>
      </w:r>
      <w:r>
        <w:rPr>
          <w:i/>
          <w:iCs/>
          <w:lang w:val="en" w:eastAsia="en"/>
        </w:rPr>
        <w:tab/>
      </w:r>
      <w:r>
        <w:rPr>
          <w:i/>
          <w:iCs/>
          <w:lang w:val="el" w:eastAsia="el"/>
        </w:rPr>
        <w:t xml:space="preserve"> Σύμφωνα με τις ως άνω διατάξεις, </w:t>
      </w:r>
      <w:r>
        <w:rPr>
          <w:b/>
          <w:bCs/>
          <w:i/>
          <w:iCs/>
          <w:lang w:val="el" w:eastAsia="el"/>
        </w:rPr>
        <w:t xml:space="preserve">όταν τα εν λόγω πρόστιμα επιβάλλονται από όργανα των Περιφερειών, αποδίδονται κατά ποσοστό 50% στον Κρατικό προϋπολογισμό </w:t>
      </w:r>
      <w:r>
        <w:rPr>
          <w:b/>
          <w:bCs/>
          <w:i/>
          <w:iCs/>
          <w:u w:val="single"/>
          <w:lang w:val="el" w:eastAsia="el"/>
        </w:rPr>
        <w:t>και το υπόλοιπο αποδίδεται στα νομικά αυτά πρόσωπα.</w:t>
      </w:r>
    </w:p>
    <w:p>
      <w:pPr>
        <w:pStyle w:val="StructureList1"/>
        <w:spacing w:before="120" w:after="0"/>
        <w:rPr>
          <w:lang w:val="el" w:eastAsia="el"/>
        </w:rPr>
      </w:pPr>
      <w:r>
        <w:rPr>
          <w:i/>
          <w:iCs/>
          <w:lang w:val="el" w:eastAsia="el"/>
        </w:rPr>
        <w:t>γ)</w:t>
      </w:r>
      <w:r>
        <w:rPr>
          <w:i/>
          <w:iCs/>
          <w:lang w:val="en" w:eastAsia="en"/>
        </w:rPr>
        <w:tab/>
      </w:r>
      <w:r>
        <w:rPr>
          <w:b/>
          <w:bCs/>
          <w:i/>
          <w:iCs/>
          <w:lang w:val="el" w:eastAsia="el"/>
        </w:rPr>
        <w:t xml:space="preserve">Με την ως άνω γνωμοδότηση, επί ερωτήματος της Δ/νσης Τεχνικής Βιομηχανικής Νομοθεσίας, που υπάγεται στην Γενική Γραμματεία Βιομηχανίας του Υπουργείου Οικονομίας και Ανάπτυξης, αναφορικά με την βεβαίωση των διοικητικών αυτών προστίμων, επιβαλλομένων </w:t>
      </w:r>
      <w:r>
        <w:rPr>
          <w:b/>
          <w:bCs/>
          <w:i/>
          <w:iCs/>
          <w:u w:val="single"/>
          <w:lang w:val="el" w:eastAsia="el"/>
        </w:rPr>
        <w:t>και</w:t>
      </w:r>
      <w:r>
        <w:rPr>
          <w:b/>
          <w:bCs/>
          <w:i/>
          <w:iCs/>
          <w:u w:val="single"/>
          <w:lang w:val="el" w:eastAsia="el"/>
        </w:rPr>
        <w:t xml:space="preserve"> σε βάρος κατόχων αδειών εμπορίας και λιανικής εμπορίας πετρελαιοειδών, </w:t>
      </w:r>
      <w:r>
        <w:rPr>
          <w:b/>
          <w:bCs/>
          <w:i/>
          <w:iCs/>
          <w:lang w:val="el" w:eastAsia="el"/>
        </w:rPr>
        <w:t>παρασχέθηκαν οι σχετικές διευκρινίσεις.</w:t>
      </w:r>
    </w:p>
    <w:p>
      <w:pPr>
        <w:spacing w:before="240" w:after="240"/>
        <w:rPr>
          <w:lang w:val="el" w:eastAsia="el"/>
        </w:rPr>
      </w:pPr>
      <w:r>
        <w:rPr>
          <w:b/>
          <w:bCs/>
          <w:i/>
          <w:iCs/>
          <w:lang w:val="el" w:eastAsia="el"/>
        </w:rPr>
        <w:t xml:space="preserve">Συγκεκριμένα, επί του ερωτήματος, το Β΄ Τμήμα του ΝΣΚ γνωμοδότησε ομόφωνα ως εξής: Μετά την παρέλευση </w:t>
      </w:r>
      <w:r>
        <w:rPr>
          <w:b/>
          <w:bCs/>
          <w:i/>
          <w:iCs/>
          <w:u w:val="single"/>
          <w:lang w:val="el" w:eastAsia="el"/>
        </w:rPr>
        <w:t>της εξηκονθημέρου προθεσμίας για την άσκηση προσφυγής της παραγράφου 1 άρθρου 66 του Κώδικα Διοικητικής Δικονομίας</w:t>
      </w:r>
      <w:r>
        <w:rPr>
          <w:b/>
          <w:bCs/>
          <w:i/>
          <w:iCs/>
          <w:lang w:val="el" w:eastAsia="el"/>
        </w:rPr>
        <w:t xml:space="preserve">, η αρμόδια Υπηρεσία οφείλει να προβεί στις απαραίτητες ενέργειες αρμοδιότητάς της για την βεβαίωση από την Φορολογική Διοίκηση </w:t>
      </w:r>
      <w:r>
        <w:rPr>
          <w:b/>
          <w:bCs/>
          <w:i/>
          <w:iCs/>
          <w:u w:val="single"/>
          <w:lang w:val="el" w:eastAsia="el"/>
        </w:rPr>
        <w:t>του συνολικού ποσού του επιβληθέντος προστίμου</w:t>
      </w:r>
      <w:r>
        <w:rPr>
          <w:b/>
          <w:bCs/>
          <w:i/>
          <w:iCs/>
          <w:lang w:val="el" w:eastAsia="el"/>
        </w:rPr>
        <w:t>.</w:t>
      </w:r>
    </w:p>
    <w:p>
      <w:pPr>
        <w:spacing w:before="240" w:after="240"/>
        <w:rPr>
          <w:lang w:val="el" w:eastAsia="el"/>
        </w:rPr>
      </w:pPr>
      <w:r>
        <w:rPr>
          <w:b/>
          <w:bCs/>
          <w:i/>
          <w:iCs/>
          <w:lang w:val="el" w:eastAsia="el"/>
        </w:rPr>
        <w:t xml:space="preserve">Ακόμη διευκρινίστηκε ότι, η εμπρόθεσμη άσκηση προσφυγής και η τυχόν υποβολή αίτησης αναστολής </w:t>
      </w:r>
      <w:r>
        <w:rPr>
          <w:b/>
          <w:bCs/>
          <w:i/>
          <w:iCs/>
          <w:u w:val="single"/>
          <w:lang w:val="el" w:eastAsia="el"/>
        </w:rPr>
        <w:t xml:space="preserve">δεν αναστέλουν την είσπραξη του </w:t>
      </w:r>
      <w:r>
        <w:rPr>
          <w:b/>
          <w:bCs/>
          <w:i/>
          <w:iCs/>
          <w:u w:val="single"/>
          <w:lang w:val="el" w:eastAsia="el"/>
        </w:rPr>
        <w:t xml:space="preserve">20% </w:t>
      </w:r>
      <w:r>
        <w:rPr>
          <w:b/>
          <w:bCs/>
          <w:i/>
          <w:iCs/>
          <w:u w:val="single"/>
          <w:lang w:val="el" w:eastAsia="el"/>
        </w:rPr>
        <w:t>του προστίμου</w:t>
      </w:r>
      <w:r>
        <w:rPr>
          <w:b/>
          <w:bCs/>
          <w:i/>
          <w:iCs/>
          <w:lang w:val="el" w:eastAsia="el"/>
        </w:rPr>
        <w:t xml:space="preserve">, </w:t>
      </w:r>
      <w:r>
        <w:rPr>
          <w:b/>
          <w:bCs/>
          <w:i/>
          <w:iCs/>
          <w:lang w:val="el" w:eastAsia="el"/>
        </w:rPr>
        <w:t xml:space="preserve">βάσει της ειδικής διάταξης της παραγράφου </w:t>
      </w:r>
      <w:r>
        <w:rPr>
          <w:b/>
          <w:bCs/>
          <w:i/>
          <w:iCs/>
          <w:lang w:val="el" w:eastAsia="el"/>
        </w:rPr>
        <w:t xml:space="preserve">3 </w:t>
      </w:r>
      <w:r>
        <w:rPr>
          <w:b/>
          <w:bCs/>
          <w:i/>
          <w:iCs/>
          <w:lang w:val="el" w:eastAsia="el"/>
        </w:rPr>
        <w:t xml:space="preserve">άρθρου </w:t>
      </w:r>
      <w:r>
        <w:rPr>
          <w:b/>
          <w:bCs/>
          <w:i/>
          <w:iCs/>
          <w:lang w:val="el" w:eastAsia="el"/>
        </w:rPr>
        <w:t xml:space="preserve">26 </w:t>
      </w:r>
      <w:r>
        <w:rPr>
          <w:b/>
          <w:bCs/>
          <w:i/>
          <w:iCs/>
          <w:lang w:val="el" w:eastAsia="el"/>
        </w:rPr>
        <w:t xml:space="preserve">ν. </w:t>
      </w:r>
      <w:r>
        <w:rPr>
          <w:b/>
          <w:bCs/>
          <w:i/>
          <w:iCs/>
          <w:lang w:val="el" w:eastAsia="el"/>
        </w:rPr>
        <w:t>4177/2013.</w:t>
      </w:r>
    </w:p>
    <w:p>
      <w:pPr>
        <w:spacing w:before="240" w:after="240"/>
        <w:rPr>
          <w:lang w:val="el" w:eastAsia="el"/>
        </w:rPr>
      </w:pPr>
      <w:r>
        <w:rPr>
          <w:b/>
          <w:bCs/>
          <w:i/>
          <w:iCs/>
          <w:lang w:val="el" w:eastAsia="el"/>
        </w:rPr>
        <w:t xml:space="preserve">Εκ των προαναφερθέντων συνάγεται ότι, οι χρηματικοί κατάλογοι δεν θα πρέπει να αποστέλλονται προς βεβαίωση πριν την οριστικοποίηση του νομίμου τίτλου, πριν την παρέλευση δηλαδή </w:t>
      </w:r>
      <w:r>
        <w:rPr>
          <w:b/>
          <w:bCs/>
          <w:i/>
          <w:iCs/>
          <w:u w:val="single"/>
          <w:lang w:val="el" w:eastAsia="el"/>
        </w:rPr>
        <w:t>της ανωτέρω εξηκονθημέρου προθεσμίας</w:t>
      </w:r>
      <w:r>
        <w:rPr>
          <w:b/>
          <w:bCs/>
          <w:i/>
          <w:iCs/>
          <w:lang w:val="el" w:eastAsia="el"/>
        </w:rPr>
        <w:t xml:space="preserve"> για την άσκηση προσφυγής.</w:t>
      </w:r>
    </w:p>
    <w:p>
      <w:pPr>
        <w:spacing w:before="240" w:after="240"/>
        <w:rPr>
          <w:lang w:val="el" w:eastAsia="el"/>
        </w:rPr>
      </w:pPr>
      <w:r>
        <w:rPr>
          <w:b/>
          <w:bCs/>
          <w:i/>
          <w:iCs/>
          <w:lang w:val="el" w:eastAsia="el"/>
        </w:rPr>
        <w:t>Τέλος, μετά τα ανωτέρω, οι Δ.Ο.Υ, που παραλαμβάνουν τους σχετικούς χρηματικούς καταλόγους, ελέγχουν :</w:t>
      </w:r>
    </w:p>
    <w:p>
      <w:pPr>
        <w:spacing w:before="240" w:after="240"/>
        <w:rPr>
          <w:lang w:val="el" w:eastAsia="el"/>
        </w:rPr>
      </w:pPr>
      <w:r>
        <w:rPr>
          <w:b/>
          <w:bCs/>
          <w:i/>
          <w:iCs/>
          <w:lang w:val="el" w:eastAsia="el"/>
        </w:rPr>
        <w:t>1) αν εμπεριέχονται τα προβλεπόμενα από τις κείμενες διατάξεις στοιχεία (διατάξεις άρθρ. 2 ν.δ.</w:t>
      </w:r>
    </w:p>
    <w:p>
      <w:pPr>
        <w:spacing w:before="240" w:after="240"/>
        <w:rPr>
          <w:lang w:val="el" w:eastAsia="el"/>
        </w:rPr>
      </w:pPr>
      <w:r>
        <w:rPr>
          <w:b/>
          <w:bCs/>
          <w:i/>
          <w:iCs/>
          <w:lang w:val="el" w:eastAsia="el"/>
        </w:rPr>
        <w:t>356/197474 όπως ισχύουν, διατάξεις άρθρ. 55 π.δ 16/1989)</w:t>
      </w:r>
    </w:p>
    <w:p>
      <w:pPr>
        <w:spacing w:before="240" w:after="240"/>
        <w:rPr>
          <w:lang w:val="el" w:eastAsia="el"/>
        </w:rPr>
      </w:pPr>
      <w:r>
        <w:rPr>
          <w:b/>
          <w:bCs/>
          <w:i/>
          <w:iCs/>
          <w:lang w:val="el" w:eastAsia="el"/>
        </w:rPr>
        <w:t xml:space="preserve">2) αν αναγράφεται ότι, έχει παρέλθει </w:t>
      </w:r>
      <w:r>
        <w:rPr>
          <w:b/>
          <w:bCs/>
          <w:i/>
          <w:iCs/>
          <w:u w:val="single"/>
          <w:lang w:val="el" w:eastAsia="el"/>
        </w:rPr>
        <w:t>η εν λόγω εξηκονθήμερος προθεσμία</w:t>
      </w:r>
      <w:r>
        <w:rPr>
          <w:b/>
          <w:bCs/>
          <w:i/>
          <w:iCs/>
          <w:lang w:val="el" w:eastAsia="el"/>
        </w:rPr>
        <w:t>,</w:t>
      </w:r>
    </w:p>
    <w:p>
      <w:pPr>
        <w:spacing w:before="240" w:after="240"/>
        <w:rPr>
          <w:lang w:val="el" w:eastAsia="el"/>
        </w:rPr>
      </w:pPr>
      <w:r>
        <w:rPr>
          <w:b/>
          <w:bCs/>
          <w:i/>
          <w:iCs/>
          <w:lang w:val="el" w:eastAsia="el"/>
        </w:rPr>
        <w:t>3) αν το προς βεβαίωση ποσόν τελεί σε αναστολή με προσωρινή ή οριστική δικαστική απόφαση.</w:t>
      </w:r>
    </w:p>
    <w:p>
      <w:pPr>
        <w:spacing w:before="240" w:after="240"/>
        <w:rPr>
          <w:lang w:val="el" w:eastAsia="el"/>
        </w:rPr>
      </w:pPr>
      <w:r>
        <w:rPr>
          <w:b/>
          <w:bCs/>
          <w:i/>
          <w:iCs/>
          <w:lang w:val="el" w:eastAsia="el"/>
        </w:rPr>
        <w:t>Με εντολή ΔιοικητήΟ Προϊστάμενος της Γενικής ΔιεύθυνσηςΦορολογικής Διοίκησης</w:t>
      </w:r>
    </w:p>
    <w:p>
      <w:pPr>
        <w:spacing w:before="240" w:after="240"/>
        <w:rPr>
          <w:lang w:val="el" w:eastAsia="el"/>
        </w:rPr>
      </w:pPr>
      <w:r>
        <w:rPr>
          <w:b/>
          <w:bCs/>
          <w:i/>
          <w:iCs/>
          <w:lang w:val="el" w:eastAsia="el"/>
        </w:rPr>
        <w:t>Ευθύμιος Σαΐτης</w:t>
      </w:r>
    </w:p>
    <w:p>
      <w:pPr>
        <w:spacing w:before="240" w:after="240"/>
        <w:rPr>
          <w:lang w:val="el" w:eastAsia="el"/>
        </w:rPr>
      </w:pPr>
      <w:r>
        <w:rPr>
          <w:b/>
          <w:bCs/>
          <w:i/>
          <w:iCs/>
          <w:lang w:val="el" w:eastAsia="el"/>
        </w:rPr>
        <w:t>{</w:t>
      </w:r>
      <w:r>
        <w:rPr>
          <w:b/>
          <w:bCs/>
          <w:i/>
          <w:iCs/>
          <w:lang w:val="el" w:eastAsia="el"/>
        </w:rPr>
        <w:t xml:space="preserve">Επισυνάπτεται: </w:t>
      </w:r>
      <w:r>
        <w:rPr>
          <w:b/>
          <w:bCs/>
          <w:i/>
          <w:iCs/>
          <w:lang w:val="el" w:eastAsia="el"/>
        </w:rPr>
        <w:t xml:space="preserve">1) </w:t>
      </w:r>
      <w:r>
        <w:rPr>
          <w:b/>
          <w:bCs/>
          <w:i/>
          <w:iCs/>
          <w:lang w:val="el" w:eastAsia="el"/>
        </w:rPr>
        <w:t xml:space="preserve">η αριθμ. </w:t>
      </w:r>
      <w:r>
        <w:rPr>
          <w:b/>
          <w:bCs/>
          <w:i/>
          <w:iCs/>
          <w:lang w:val="el" w:eastAsia="el"/>
        </w:rPr>
        <w:t xml:space="preserve">107/2019 </w:t>
      </w:r>
      <w:r>
        <w:rPr>
          <w:b/>
          <w:bCs/>
          <w:i/>
          <w:iCs/>
          <w:lang w:val="el" w:eastAsia="el"/>
        </w:rPr>
        <w:t xml:space="preserve">γνωμ. του ΝΣΚ </w:t>
      </w:r>
      <w:r>
        <w:rPr>
          <w:b/>
          <w:bCs/>
          <w:i/>
          <w:iCs/>
          <w:lang w:val="el" w:eastAsia="el"/>
        </w:rPr>
        <w:t xml:space="preserve">- </w:t>
      </w:r>
      <w:r>
        <w:rPr>
          <w:b/>
          <w:bCs/>
          <w:i/>
          <w:iCs/>
          <w:lang w:val="el" w:eastAsia="el"/>
        </w:rPr>
        <w:t xml:space="preserve">Συνημμένα Φύλλα δέκα τρία </w:t>
      </w:r>
      <w:r>
        <w:rPr>
          <w:b/>
          <w:bCs/>
          <w:i/>
          <w:iCs/>
          <w:lang w:val="el" w:eastAsia="el"/>
        </w:rPr>
        <w:t xml:space="preserve">(13) </w:t>
      </w:r>
      <w:r>
        <w:rPr>
          <w:b/>
          <w:bCs/>
          <w:i/>
          <w:iCs/>
          <w:lang w:val="el" w:eastAsia="el"/>
        </w:rPr>
        <w:t>για τους αποδέκτες προς ενέργεια</w:t>
      </w:r>
      <w:r>
        <w:rPr>
          <w:b/>
          <w:bCs/>
          <w:i/>
          <w:iCs/>
          <w:lang w:val="el" w:eastAsia="el"/>
        </w:rPr>
        <w:t xml:space="preserve">, </w:t>
      </w:r>
      <w:r>
        <w:rPr>
          <w:b/>
          <w:bCs/>
          <w:i/>
          <w:iCs/>
          <w:lang w:val="el" w:eastAsia="el"/>
        </w:rPr>
        <w:t>2</w:t>
      </w:r>
      <w:r>
        <w:rPr>
          <w:b/>
          <w:bCs/>
          <w:i/>
          <w:iCs/>
          <w:lang w:val="el" w:eastAsia="el"/>
        </w:rPr>
        <w:t xml:space="preserve">) </w:t>
      </w:r>
      <w:r>
        <w:rPr>
          <w:b/>
          <w:bCs/>
          <w:i/>
          <w:iCs/>
          <w:lang w:val="el" w:eastAsia="el"/>
        </w:rPr>
        <w:t xml:space="preserve">η σχετική εγκύκλιος του Υπουργείου Οικονομίας </w:t>
      </w:r>
      <w:r>
        <w:rPr>
          <w:b/>
          <w:bCs/>
          <w:i/>
          <w:iCs/>
          <w:lang w:val="el" w:eastAsia="el"/>
        </w:rPr>
        <w:t xml:space="preserve">&amp; </w:t>
      </w:r>
      <w:r>
        <w:rPr>
          <w:b/>
          <w:bCs/>
          <w:i/>
          <w:iCs/>
          <w:lang w:val="el" w:eastAsia="el"/>
        </w:rPr>
        <w:t>Ανάπτυξης</w:t>
      </w:r>
      <w:r>
        <w:rPr>
          <w:b/>
          <w:bCs/>
          <w:i/>
          <w:iCs/>
          <w:lang w:val="el" w:eastAsia="el"/>
        </w:rPr>
        <w:t>}</w:t>
      </w:r>
    </w:p>
    <w:p>
      <w:pPr>
        <w:spacing w:before="240" w:after="240"/>
        <w:rPr>
          <w:lang w:val="el" w:eastAsia="el"/>
        </w:rPr>
      </w:pPr>
      <w:r>
        <w:rPr>
          <w:b/>
          <w:bCs/>
          <w:i/>
          <w:iCs/>
          <w:lang w:val="el" w:eastAsia="el"/>
        </w:rPr>
        <w:t>ΠΙΝΑΚΑΣ ΔΙΑΝΟΜΗΣ:</w:t>
      </w:r>
    </w:p>
    <w:p>
      <w:pPr>
        <w:spacing w:before="240" w:after="240"/>
        <w:rPr>
          <w:lang w:val="el" w:eastAsia="el"/>
        </w:rPr>
      </w:pPr>
      <w:r>
        <w:rPr>
          <w:b/>
          <w:bCs/>
          <w:i/>
          <w:iCs/>
          <w:lang w:val="el" w:eastAsia="el"/>
        </w:rPr>
        <w:t>Α. ΠΡΟΣ ΕΝΕΡΓΕΙΑ</w:t>
      </w:r>
    </w:p>
    <w:p>
      <w:pPr>
        <w:spacing w:before="240" w:after="240"/>
        <w:rPr>
          <w:lang w:val="el" w:eastAsia="el"/>
        </w:rPr>
      </w:pPr>
      <w:r>
        <w:rPr>
          <w:b/>
          <w:bCs/>
          <w:i/>
          <w:iCs/>
          <w:lang w:val="el" w:eastAsia="el"/>
        </w:rPr>
        <w:t>1) Αποδέκτες πίνακα Γ &amp; Δ</w:t>
      </w:r>
    </w:p>
    <w:p>
      <w:pPr>
        <w:spacing w:before="240" w:after="240"/>
        <w:rPr>
          <w:lang w:val="el" w:eastAsia="el"/>
        </w:rPr>
      </w:pPr>
      <w:r>
        <w:rPr>
          <w:b/>
          <w:bCs/>
          <w:i/>
          <w:iCs/>
          <w:lang w:val="el" w:eastAsia="el"/>
        </w:rPr>
        <w:t>2) Δ/νση Τελωνειακών Διαδικασιών</w:t>
      </w:r>
    </w:p>
    <w:p>
      <w:pPr>
        <w:spacing w:before="240" w:after="240"/>
        <w:rPr>
          <w:lang w:val="el" w:eastAsia="el"/>
        </w:rPr>
      </w:pPr>
      <w:r>
        <w:rPr>
          <w:b/>
          <w:bCs/>
          <w:i/>
          <w:iCs/>
          <w:lang w:val="el" w:eastAsia="el"/>
        </w:rPr>
        <w:t>3) Δ/νση Ηλεκτρονικής Διακυβέρνησης</w:t>
      </w:r>
    </w:p>
    <w:p>
      <w:pPr>
        <w:spacing w:before="240" w:after="240"/>
        <w:rPr>
          <w:lang w:val="el" w:eastAsia="el"/>
        </w:rPr>
      </w:pPr>
      <w:r>
        <w:rPr>
          <w:b/>
          <w:bCs/>
          <w:i/>
          <w:iCs/>
          <w:lang w:val="el" w:eastAsia="el"/>
        </w:rPr>
        <w:t>4) Δ/νση Υποστήριξης Ηλεκτρονικών Υπηρεσιών (με την παράκληση να αναρτηθεί στην ιστοσελίδα της ΑΑΔΕ)</w:t>
      </w:r>
    </w:p>
    <w:p>
      <w:pPr>
        <w:spacing w:before="240" w:after="240"/>
        <w:rPr>
          <w:lang w:val="el" w:eastAsia="el"/>
        </w:rPr>
      </w:pPr>
      <w:r>
        <w:rPr>
          <w:b/>
          <w:bCs/>
          <w:i/>
          <w:iCs/>
          <w:lang w:val="el" w:eastAsia="el"/>
        </w:rPr>
        <w:t>5)Ηλεκτρονική Βιβλιοθήκη ΑΑΔΕ</w:t>
      </w:r>
    </w:p>
    <w:p>
      <w:pPr>
        <w:spacing w:before="240" w:after="240"/>
        <w:rPr>
          <w:lang w:val="el" w:eastAsia="el"/>
        </w:rPr>
      </w:pPr>
      <w:r>
        <w:rPr>
          <w:b/>
          <w:bCs/>
          <w:i/>
          <w:iCs/>
          <w:lang w:val="el" w:eastAsia="el"/>
        </w:rPr>
        <w:t>Β. ΑΠΟΔΕΚΤΕΣ ΓΙΑ ΚΟΙΝΟΠΟΙΗΣΗ</w:t>
      </w:r>
    </w:p>
    <w:p>
      <w:pPr>
        <w:spacing w:before="240" w:after="240"/>
        <w:rPr>
          <w:lang w:val="el" w:eastAsia="el"/>
        </w:rPr>
      </w:pPr>
      <w:r>
        <w:rPr>
          <w:b/>
          <w:bCs/>
          <w:i/>
          <w:iCs/>
          <w:lang w:val="el" w:eastAsia="el"/>
        </w:rPr>
        <w:t>Αποδέκτες πίνακα Α, Β, Ε, ΣΤ, Ζ, Η, Θ, Ι, ΙΒ, ΙΔ, ΙΕ, ΙΣΤ.</w:t>
      </w:r>
    </w:p>
    <w:p>
      <w:pPr>
        <w:spacing w:before="240" w:after="240"/>
        <w:rPr>
          <w:lang w:val="el" w:eastAsia="el"/>
        </w:rPr>
      </w:pPr>
      <w:r>
        <w:rPr>
          <w:b/>
          <w:bCs/>
          <w:i/>
          <w:iCs/>
          <w:lang w:val="el" w:eastAsia="el"/>
        </w:rPr>
        <w:t>2)Υπουργείο Οικονομίας και Ανάπτυξης, Γενική Γραμματεία Βιομηχανίας, Γεν. Δ/νση Βιομηχανίας και Επιχειρηματικού Περιβάλλοντος – Πλατεία Κάνιγγος Τ.Κ. 101 81, Αθήνα</w:t>
      </w:r>
    </w:p>
    <w:p>
      <w:pPr>
        <w:spacing w:before="240" w:after="240"/>
        <w:rPr>
          <w:lang w:val="el" w:eastAsia="el"/>
        </w:rPr>
      </w:pPr>
      <w:r>
        <w:rPr>
          <w:b/>
          <w:bCs/>
          <w:i/>
          <w:iCs/>
          <w:lang w:val="el" w:eastAsia="el"/>
        </w:rPr>
        <w:t>Γ. ΕΣΩΤΕΡΙΚΗ ΔΙΑΝΟΜΗ:</w:t>
      </w:r>
    </w:p>
    <w:p>
      <w:pPr>
        <w:spacing w:before="240" w:after="240"/>
        <w:rPr>
          <w:lang w:val="el" w:eastAsia="el"/>
        </w:rPr>
      </w:pPr>
      <w:r>
        <w:rPr>
          <w:b/>
          <w:bCs/>
          <w:i/>
          <w:iCs/>
          <w:lang w:val="el" w:eastAsia="el"/>
        </w:rPr>
        <w:t>1) Γραφείο Υπουργού</w:t>
      </w:r>
    </w:p>
    <w:p>
      <w:pPr>
        <w:spacing w:before="240" w:after="240"/>
        <w:rPr>
          <w:lang w:val="el" w:eastAsia="el"/>
        </w:rPr>
      </w:pPr>
      <w:r>
        <w:rPr>
          <w:b/>
          <w:bCs/>
          <w:i/>
          <w:iCs/>
          <w:lang w:val="el" w:eastAsia="el"/>
        </w:rPr>
        <w:t>2) Γραφείο Αναπληρωτή Υπουργού</w:t>
      </w:r>
    </w:p>
    <w:p>
      <w:pPr>
        <w:spacing w:before="240" w:after="240"/>
        <w:rPr>
          <w:lang w:val="el" w:eastAsia="el"/>
        </w:rPr>
      </w:pPr>
      <w:r>
        <w:rPr>
          <w:b/>
          <w:bCs/>
          <w:i/>
          <w:iCs/>
          <w:lang w:val="el" w:eastAsia="el"/>
        </w:rPr>
        <w:t>3) Γραφείο Υφυπουργού</w:t>
      </w:r>
    </w:p>
    <w:p>
      <w:pPr>
        <w:spacing w:before="240" w:after="240"/>
        <w:rPr>
          <w:lang w:val="el" w:eastAsia="el"/>
        </w:rPr>
      </w:pPr>
      <w:r>
        <w:rPr>
          <w:b/>
          <w:bCs/>
          <w:i/>
          <w:iCs/>
          <w:lang w:val="el" w:eastAsia="el"/>
        </w:rPr>
        <w:t>4) Γραφείο Διοικητή Ανεξάρτητης Αρχής Δημοσίων Εσόδων</w:t>
      </w:r>
    </w:p>
    <w:p>
      <w:pPr>
        <w:spacing w:before="240" w:after="240"/>
        <w:rPr>
          <w:lang w:val="el" w:eastAsia="el"/>
        </w:rPr>
      </w:pPr>
      <w:r>
        <w:rPr>
          <w:b/>
          <w:bCs/>
          <w:i/>
          <w:iCs/>
          <w:lang w:val="el" w:eastAsia="el"/>
        </w:rPr>
        <w:t>5) Γραφεία κ.κ. Γεν. Διευθυντών</w:t>
      </w:r>
    </w:p>
    <w:p>
      <w:pPr>
        <w:spacing w:before="240" w:after="240"/>
        <w:rPr>
          <w:lang w:val="el" w:eastAsia="el"/>
        </w:rPr>
      </w:pPr>
      <w:r>
        <w:rPr>
          <w:b/>
          <w:bCs/>
          <w:i/>
          <w:iCs/>
          <w:lang w:val="el" w:eastAsia="el"/>
        </w:rPr>
        <w:t>6) Δ/νση Εισπράξεων- Τμήματα Α, Β, Γ, Δ, Ε, Γραμματεία</w:t>
      </w:r>
    </w:p>
    <w:p>
      <w:pPr>
        <w:spacing w:before="240" w:after="240"/>
        <w:rPr>
          <w:lang w:val="el" w:eastAsia="el"/>
        </w:rPr>
      </w:pPr>
      <w:r>
        <w:rPr>
          <w:b/>
          <w:bCs/>
          <w:i/>
          <w:iCs/>
          <w:lang w:val="el" w:eastAsia="el"/>
        </w:rPr>
        <w:t>7) Φορολογική και Τελωνειακή Ακαδημία</w:t>
      </w:r>
    </w:p>
    <w:p>
      <w:pPr>
        <w:spacing w:before="240" w:after="240"/>
        <w:rPr>
          <w:lang w:val="el" w:eastAsia="el"/>
        </w:rPr>
      </w:pPr>
      <w:r>
        <w:rPr>
          <w:b/>
          <w:bCs/>
          <w:i/>
          <w:iCs/>
          <w:lang w:val="el" w:eastAsia="el"/>
        </w:rPr>
        <w:t>8) Γραφείο Τύπου και Δημοσίων Σχέσεων</w:t>
      </w:r>
    </w:p>
    <w:p>
      <w:pPr>
        <w:spacing w:before="240" w:after="240"/>
        <w:rPr>
          <w:lang w:val="el" w:eastAsia="el"/>
        </w:rPr>
      </w:pPr>
      <w:r>
        <w:rPr>
          <w:b/>
          <w:bCs/>
          <w:i/>
          <w:iCs/>
          <w:lang w:val="el" w:eastAsia="el"/>
        </w:rPr>
        <w:t>9) Περιοδικό Φορολογική Επιθεώρηση</w:t>
      </w:r>
    </w:p>
    <w:p>
      <w:pPr>
        <w:spacing w:before="240" w:after="240"/>
        <w:rPr>
          <w:lang w:val="el" w:eastAsia="el"/>
        </w:rPr>
      </w:pPr>
      <w:r>
        <w:rPr>
          <w:b/>
          <w:bCs/>
          <w:i/>
          <w:iCs/>
          <w:lang w:val="el" w:eastAsia="el"/>
        </w:rPr>
        <w:t>10)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