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 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2 - 4</w:t>
      </w:r>
    </w:p>
    <w:p>
      <w:pPr>
        <w:spacing w:before="240" w:after="240"/>
        <w:rPr>
          <w:lang w:val="el" w:eastAsia="el"/>
        </w:rPr>
      </w:pPr>
      <w:r>
        <w:rPr>
          <w:lang w:val="el" w:eastAsia="el"/>
        </w:rPr>
        <w:t>10672 Αθήνα</w:t>
      </w:r>
    </w:p>
    <w:p>
      <w:pPr>
        <w:spacing w:before="240" w:after="240"/>
        <w:rPr>
          <w:lang w:val="el" w:eastAsia="el"/>
        </w:rPr>
      </w:pPr>
      <w:r>
        <w:rPr>
          <w:lang w:val="el" w:eastAsia="el"/>
        </w:rPr>
        <w:t>213 2122400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626Φ46ΜΠ3Ζ-97Λ</w:t>
      </w:r>
    </w:p>
    <w:p>
      <w:pPr>
        <w:spacing w:before="240" w:after="240"/>
        <w:rPr>
          <w:lang w:val="el" w:eastAsia="el"/>
        </w:rPr>
      </w:pPr>
      <w:r>
        <w:rPr>
          <w:b/>
          <w:bCs/>
          <w:lang w:val="el" w:eastAsia="el"/>
        </w:rPr>
        <w:t>Αθήνα, 26/09/2019</w:t>
      </w:r>
    </w:p>
    <w:p>
      <w:pPr>
        <w:spacing w:before="240" w:after="240"/>
        <w:rPr>
          <w:lang w:val="el" w:eastAsia="el"/>
        </w:rPr>
      </w:pPr>
      <w:r>
        <w:rPr>
          <w:b/>
          <w:bCs/>
          <w:lang w:val="el" w:eastAsia="el"/>
        </w:rPr>
        <w:t>Ε.2173</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Εφαρμογή των διατάξεων του ειδικού καθεστώτος αγροτών του άρθρου 41 του Κώδικα ΦΠΑ στις ενισχύσεις ήσσονος σημασίας (de minimis)</w:t>
      </w:r>
    </w:p>
    <w:p>
      <w:pPr>
        <w:spacing w:before="240" w:after="240"/>
        <w:rPr>
          <w:lang w:val="el" w:eastAsia="el"/>
        </w:rPr>
      </w:pPr>
      <w:r>
        <w:rPr>
          <w:lang w:val="el" w:eastAsia="el"/>
        </w:rPr>
        <w:t xml:space="preserve">Αναφορικά με τη μη συμπερίληψη των ποσών που χορηγούνται ως </w:t>
      </w:r>
      <w:r>
        <w:rPr>
          <w:b/>
          <w:bCs/>
          <w:lang w:val="el" w:eastAsia="el"/>
        </w:rPr>
        <w:t xml:space="preserve">ενισχύσεις ήσσονος σημασίας (de minimis) </w:t>
      </w:r>
      <w:r>
        <w:rPr>
          <w:lang w:val="el" w:eastAsia="el"/>
        </w:rPr>
        <w:t>στο όριο των 5.000 ευρώ από επιδοτήσεις που προβλέπεται στο άρθρο 41 του Κώδικα ΦΠΑ (ν. 2859/2000), όπως ισχύει, διευκρινίζονται τα ακόλουθα:</w:t>
      </w:r>
    </w:p>
    <w:p>
      <w:pPr>
        <w:spacing w:before="240" w:after="240"/>
        <w:rPr>
          <w:lang w:val="el" w:eastAsia="el"/>
        </w:rPr>
      </w:pPr>
      <w:r>
        <w:rPr>
          <w:lang w:val="el" w:eastAsia="el"/>
        </w:rPr>
        <w:t>1. Στο ειδικό καθεστώς αγροτών του άρθρου 41 του Κώδικα ΦΠΑ εντάσσονται, σύμφωνα με τις διατάξεις της παραγράφου 1 του άρθρου αυτού,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αξίας κατώτερης των δεκαπέντε χιλιάδων (15.000) ευρώ και έλαβαν επιδοτήσεις συνολικής αξίας κατώτερης των πέντε χιλιάδων (5.000) ευρώ.</w:t>
      </w:r>
    </w:p>
    <w:p>
      <w:pPr>
        <w:spacing w:before="240" w:after="240"/>
        <w:rPr>
          <w:lang w:val="el" w:eastAsia="el"/>
        </w:rPr>
      </w:pPr>
      <w:r>
        <w:rPr>
          <w:lang w:val="el" w:eastAsia="el"/>
        </w:rPr>
        <w:t>2. Με τις διευκρινίσεις που δόθηκαν με την εγκύκλιο ΠΟΛ. 1201/2016 επισημάνθηκε ότι στον προσδιορισμό του ορίου των 5.000 ευρώ από επιδοτήσεις, από 01.01.2017 και εφεξής, λαμβάνεται υπόψη το συνολικό ποσό επιδοτήσεων ή ενισχύσεων κάθε μορφής, (όπως πράσινη ενίσχυση, βασική ενίσχυση, ενίσχυση για γεωργούς νεαρής ηλικίας, συνδεδεμένες ενισχύσεις, εξισωτική, κ.λ.π.) που πράγματι καταβλήθηκε στον αγρότη εντός του προηγούμενου φορολογικού έτους, έστω και αν στο ποσό αυτό περιέχονται και ποσά επιδοτήσεων ή ενισχύσεων που αφορούν άλλα (παλαιότερα) φορολογικά έτη.</w:t>
      </w:r>
    </w:p>
    <w:p>
      <w:pPr>
        <w:spacing w:before="240" w:after="240"/>
        <w:rPr>
          <w:lang w:val="el" w:eastAsia="el"/>
        </w:rPr>
      </w:pPr>
      <w:r>
        <w:rPr>
          <w:lang w:val="el" w:eastAsia="el"/>
        </w:rPr>
        <w:t>Εντούτοις, επισημάνθηκε ότι δεν λαμβάνονται υπόψη για τον υπολογισμό του ορίου των 5.000 ευρώ οι κάθε είδους ενισχύσεις από το κράτος για την πραγματοποίηση επενδύσεων, καθώς και οι αποζημιώσεις που καταβάλλονται από τον ΕΛΓΑ.</w:t>
      </w:r>
    </w:p>
    <w:p>
      <w:pPr>
        <w:spacing w:before="240" w:after="240"/>
        <w:rPr>
          <w:lang w:val="el" w:eastAsia="el"/>
        </w:rPr>
      </w:pPr>
      <w:r>
        <w:rPr>
          <w:lang w:val="el" w:eastAsia="el"/>
        </w:rPr>
        <w:t>3. Με την υπ’ αριθ. 28/24016/6.2.2019 (ΦΕΚ Β΄ 315) κοινή απόφαση των Υπουργών Οικονομικών και Αγροτικής Ανάπτυξης και Τροφίμων θεσπίστηκε καθεστώς για τη χορήγηση κρατικών ενισχύσεων ήσσονος σημασίας (de minimis) σύμφωνα με τον Κανονισμό (ΕΕ) 1408/2013 της Επιτροπής (ΕΕ L 352, 24.12.2013) σε δικαιούχους οι οποίοι δραστηριοποιούνται στον τομέα της παραγωγής γεωργικών προϊόντων και ειδικότερα στον τομέα της πρωτογενούς παραγωγής επιτραπέζιων ροδάκινων, νεκταρινιών και βιομηχανικών ροδάκινων στις Περιφερειακές Ενότητες Ημαθίας, Πέλλας, Πιερίας, Κοζάνης, Τρικάλων, Λάρισας, Μαγνησίας, Καβάλας και Φλώρινας. Οι δικαιούχοι είναι γεωργοί οι οποίοι επλήγησαν από τις</w:t>
      </w:r>
    </w:p>
    <w:p>
      <w:pPr>
        <w:spacing w:before="240" w:after="240"/>
        <w:rPr>
          <w:lang w:val="el" w:eastAsia="el"/>
        </w:rPr>
      </w:pPr>
      <w:r>
        <w:rPr>
          <w:lang w:val="el" w:eastAsia="el"/>
        </w:rPr>
        <w:t>έντονες βροχοπτώσεις κατά τη χρονική περίοδο από 27 έως 28 Ιουνίου 2018 και διέθεταν ποικιλίες σε ωρίμανση κατά την ίδια χρονική περίοδο. Οι ως άνω δικαιούχοι έχουν υποβάλει δήλωση εκμετάλλευσης - ενιαία αίτηση ενίσχυσης για το έτος 2018, διατηρούν τουλάχιστον 0.1 εκτάρια (ha) ροδάκινων επιτραπέζιων ή/και βιομηχανικών ή/και νεκταρινιών και το ύψος του κατ’ αποκοπή ποσού ενίσχυσης ήσσονος σημασίας καθορίζεται κλιμακωτά ανά εκτάριο ζημιωθέντων γεωργικών προϊόντων κατά είδος καλλιέργειας.</w:t>
      </w:r>
    </w:p>
    <w:p>
      <w:pPr>
        <w:spacing w:before="240" w:after="240"/>
        <w:rPr>
          <w:lang w:val="el" w:eastAsia="el"/>
        </w:rPr>
      </w:pPr>
      <w:r>
        <w:rPr>
          <w:lang w:val="el" w:eastAsia="el"/>
        </w:rPr>
        <w:t>4. Από τα ανωτέρω προκύπτει ότι οι ενισχύσεις ήσσονος σημασίας (de minimis) που χορηγούνται σύμφωνα με την υπ’ αριθ. 28/24016/6.2.2019 (ΦΕΚ Β΄ 315) κοινή απόφαση των Υπουργών Οικονομικών και Αγροτικής Ανάπτυξης και Τροφίμων, σε δικαιούχους παραγωγούς γεωργικών προϊόντων που επλήγησαν από έντονα καιρικά φαινόμενα, στο πλαίσιο της ανάγκης στήριξης των παραγωγών αυτών σε περιόδους ειδικών δυσχερειών, έχουν αποζημιωτικό χαρακτήρα και ως εκ τούτου τα εν λόγω ποσά δεν λαμβάνονται υπόψη στον προσδιορισμό του ορίου των 5.000 ευρώ από επιδοτήσεις της παραγράφου 1 του άρθρου 41 του Κώδικα ΦΠΑ, κατ’ ανάλογη αντιμετώπιση με αυτή των αποζημιώσεων του ΕΛΓΑ βάσει της εγκυκλίου ΠΟΛ.1201/2016.</w:t>
      </w:r>
    </w:p>
    <w:p>
      <w:pPr>
        <w:spacing w:before="240" w:after="240"/>
        <w:rPr>
          <w:lang w:val="el" w:eastAsia="el"/>
        </w:rPr>
      </w:pPr>
      <w:r>
        <w:rPr>
          <w:lang w:val="el" w:eastAsia="el"/>
        </w:rPr>
        <w:t>Η ίδια αντιμετώπιση ισχύει και για ποσά ενισχύσεων ήσσονος σημασίας (de minimis) που χορηγούνται σε αντίστοιχες με την ανωτέρω περιπτώσεις (αποζημιωτικού χαρακτήρα) .</w:t>
      </w:r>
    </w:p>
    <w:p>
      <w:pPr>
        <w:spacing w:before="240" w:after="240"/>
        <w:rPr>
          <w:lang w:val="el" w:eastAsia="el"/>
        </w:rPr>
      </w:pPr>
      <w:r>
        <w:rPr>
          <w:lang w:val="el" w:eastAsia="el"/>
        </w:rPr>
        <w:t>5. Στην περίπτωση που η είσπραξη των ανωτέρω ενισχύσεων ήσσονος σημασίας από δικαιούχους παραγωγούς, οι οποίοι είτε ήταν και παραμένουν αγρότες του ειδικού καθεστώτος, είτε ήταν ενταγμένοι στο κανονικό καθεστώς έως 31.12.2018 και από 01.01.2019 μετατάχθηκαν στο ειδικό καθεστώς αγροτών, δεν ελήφθη υπόψη στο όριο των 5.000 ευρώ, δεν προκύπτει οποιαδήποτε υποχρέωση περί επανεξέτασης του καθεστώτος ΦΠΑ στο οποίο ήδη εντάσσονται οι εν λόγω δικαιούχοι κατά το τρέχον φορολογικό έτος.</w:t>
      </w:r>
    </w:p>
    <w:p>
      <w:pPr>
        <w:spacing w:before="240" w:after="240"/>
        <w:rPr>
          <w:lang w:val="el" w:eastAsia="el"/>
        </w:rPr>
      </w:pPr>
      <w:r>
        <w:rPr>
          <w:lang w:val="el" w:eastAsia="el"/>
        </w:rPr>
        <w:t>Στην περίπτωση που οι ενισχύσεις ήσσονος σημασίας που εισπράχθηκαν έως και 31.12.2018 από αγρότες του ειδικού καθεστώτος και λόγω συνυπολογισμού τους στο όριο των 5.000 ευρώ και υπέρβασης αυτού οι δικαιούχοι αγρότες εντάχθηκαν από 01.01.2019 στο κανονικό καθεστώς, καθώς και στην περίπτωση δικαιούχων του κανονικού καθεστώτος οι οποίοι παρέμειναν στο καθεστώς αυτό για τον ίδιο λόγο, δεδομένου ότι από τις διατάξεις του τελευταίου εδαφίου της παραγράφου 6 του άρθρου 41 δεν προβλέπεται η δυνατότητα μετάταξης από το κανονικό καθεστώς στο ειδικό καθεστώς ΦΠΑ αγροτών εντός του φορολογικού έτους παρά μόνο από την έναρξη αυτού, οι εν λόγω αγρότες παραμένουν υποχρεωτικά στο κανονικό καθεστώς με δυνατότητα εξέτασης από την έναρξη του επόμενου φορολογικού έτους (ήτοι από 01.01.2020) του καθεστώτος ΦΠΑ στο οποίο θα εντάσσονται.</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Θ΄ μόνο οι αριθ. 10, 17 και 18</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ΙΘ΄ μόνο οι αριθ. 27 και 32</w:t>
      </w:r>
    </w:p>
    <w:p>
      <w:pPr>
        <w:spacing w:before="240" w:after="240"/>
        <w:rPr>
          <w:lang w:val="el" w:eastAsia="el"/>
        </w:rPr>
      </w:pPr>
      <w:r>
        <w:rPr>
          <w:lang w:val="el" w:eastAsia="el"/>
        </w:rPr>
        <w:t>9. Γραφείο Υπουργού Οικονομικών</w:t>
      </w:r>
    </w:p>
    <w:p>
      <w:pPr>
        <w:spacing w:before="240" w:after="240"/>
        <w:rPr>
          <w:lang w:val="el" w:eastAsia="el"/>
        </w:rPr>
      </w:pPr>
      <w:r>
        <w:rPr>
          <w:lang w:val="el" w:eastAsia="el"/>
        </w:rPr>
        <w:t>10. Γραφείο Υφυπουργού Οικονομικών</w:t>
      </w:r>
    </w:p>
    <w:p>
      <w:pPr>
        <w:spacing w:before="240" w:after="240"/>
        <w:rPr>
          <w:lang w:val="el" w:eastAsia="el"/>
        </w:rPr>
      </w:pPr>
      <w:r>
        <w:rPr>
          <w:lang w:val="el" w:eastAsia="el"/>
        </w:rPr>
        <w:t>11.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Διεύθυνση Ελέγχων</w:t>
      </w:r>
    </w:p>
    <w:p>
      <w:pPr>
        <w:spacing w:before="240" w:after="240"/>
        <w:rPr>
          <w:lang w:val="el" w:eastAsia="el"/>
        </w:rPr>
      </w:pPr>
      <w:r>
        <w:rPr>
          <w:lang w:val="el" w:eastAsia="el"/>
        </w:rPr>
        <w:t>5.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