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Σίνα 2-4 10672 Αθήνα 2132122400 2103645413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Κοινοποίηση των διατάξεων των άρθρων 16 και 17 του μέρους Β΄ του ν.4633/2019 (Α΄161/16.10.2019) «Σύσταση Εθνικού Οργανισμού Δημόσιας Υγείας (ΕΟΔΥ), ρυθμίσεις για τα προϊόντα καπνού, άλλα ζητήματα του Υπουργείου Υγείας και λοιπές διατάξεις.»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τις ως άνω διατάξεις, προς ενημέρωση και ειδικότερα επισημαίνουμε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κοινοποιούμενες διατάξεις του αρ. 16 του ν. 4633/2019, αντικαθίσταται το άρθρο 3 του ν.3730/2008 (Α΄262), όπως είχε τροποποιηθεί και ίσχυε με τις διατάξεις του άρθρου 45 του ν. 3986/2011 και της υποπαρ.Ι6 του άρθρου 1 του ν. 4254/2014, με τις οποίες θεσπίστηκε ετήσιο τέλος για τη λειτουργία χώρου καπνιζόντων.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Από την ημερομηνία ισχύος των νέων διατάξεων, ήτοι από τις 16.10.2019, παύει να ισχύει η «κατ’ εξαίρεση» λειτουργία χώρων καπνιζόντων στα καζίνο, στα κέντρα διασκέδασης με ζωντανή μουσική εμβαδού άνω των 300 τ.μ. και στα καταστήματα όπου νομίμως διεξάγονται τυχερά παίγνια.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συνέπεια, καθίσταται ανενεργή και παύει η είσπραξη και απόδοση του τέλους καπνιζόντων.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ΔΙΟΙΚΗΤΗΣ ΤΗΣ Α.Α.Δ.Ε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Όλες τις Δ.Ο.Υ. και Ελεγκτικές Υπηρεσίες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Υγείας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Δ/νση Δημόσιας Υγείας &amp; Ποιότητας Ζωής Δ/νση Αντιμετώπισης Εξαρτήσεων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Περιοδικό Φορολογική Επιθεώρηση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Γενικού Δ/ντη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Δ/ντη Ηλεκτρονικής Διακυβέρνησης (ΓΔΗΛΕΔ)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Γενικού Δ/ντη Ανθρωπίνου Δυναμικού &amp;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Επίλυσης Διαφορών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Επικοινωνίας και Πληροφόρησης Πολιτών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