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ΦΟΡΟΛΟΓΙΑΣ ΚΕΦΑΛΑΙΟΥ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ΠΕΡΙΟΥΣΙΟΛΟΓΙΟΥ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 Σερβίας 8 101 84 ΑΘΗΝΑ 2103375878, 360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defk.a@aade.gr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Διοικητική Κωδικοποίηση των διατάξεων του άρθρου 32 του ν. 3842/2010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υλοποίησης των επιχειρησιακών στόχων της Ανεξάρτητης Αρχής Δημοσίων Εσόδων σας κοινοποιούμε διοικητική κωδικοποίηση του άρθρου 32 του ν. 3842/2010 (Α΄ 58), προς διευκόλυνση της λειτουργίας των Δ.Ο.Υ. και την καλύτερη εξυπηρέτηση των πολιτών, η οποία αναφέρεται στον τρόπο υπολογισμού της αξίας των ακινήτων για τον προσδιορισμό του συμπληρωματικού ΕΝ.Φ.Ι.Α..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Προκειμένου η κωδικοποίηση να είναι εύχρηστη και αποτελεσματική, φέρει θεματικούς πλαγιότιτλους και στις αντίστοιχες υποσημειώσεις αναγράφονται οι αλλαγές που έχει υποστεί η σχετική νομοθεσία καθώς και η ημερομηνία έναρξης ισχύος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της Ανεξάρτητης ΑρχήςΔημοσίων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Γεώργιος Πιτσιλής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Στρατηγικής Τεχνολογιών Πληροφορικής (ΔΙ.Σ.ΤΕ.ΠΛ.) – Τμήμα Ε΄ (με την παράκληση να αναρτηθεί στην ιστοσελίδα της Α.Α.Δ.Ε. και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 κυρίου Σταϊκούρα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Δημόσιας Περιουσίας και Φορολογικής Πολιτική κυρίου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Β (περιπτώσεις 3, 3.1, 4 και 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 (περιπτώσεις 1 και 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ΙA΄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IΙΙ.ΕΣΩΤΕΡΙΚΗ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Προϊσταμένων Γενικών Διευθύνσεων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Διευθύνσεις,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Εφαρμογής Φορολογίας Κεφαλαίου και Περιουσιολογίου – Τμήματα Α΄ και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fk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