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ΔΑΣΜΟΛΟΓΙΚΩΝ ΘΕΜΑΤΩΝ ΕΙΔΙΚΩΝ</w:t>
      </w:r>
    </w:p>
    <w:p>
      <w:pPr>
        <w:pStyle w:val="PreambelText"/>
        <w:spacing w:before="240" w:after="240"/>
        <w:rPr>
          <w:lang w:val="el" w:eastAsia="el"/>
        </w:rPr>
      </w:pPr>
      <w:r>
        <w:rPr>
          <w:b/>
          <w:bCs/>
          <w:lang w:val="el" w:eastAsia="el"/>
        </w:rPr>
        <w:t>ΚΑΘΕΣΤΩΤΩΝ ΚΑΙ ΑΠΑΛΛΑΓΩΝ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ΔΑΣΜΟΛΟΓΙΚΟ &amp; ΔΑΣΜΟΛ. ΑΞΙΑΣ</w:t>
      </w:r>
    </w:p>
    <w:p>
      <w:pPr>
        <w:spacing w:before="240" w:after="240"/>
        <w:rPr>
          <w:lang w:val="el" w:eastAsia="el"/>
        </w:rPr>
      </w:pPr>
      <w:r>
        <w:rPr>
          <w:lang w:val="el" w:eastAsia="el"/>
        </w:rPr>
        <w:t>ΠΡΟΣ: Τελωνειακές Περιφέρειες</w:t>
      </w:r>
    </w:p>
    <w:p>
      <w:pPr>
        <w:spacing w:before="240" w:after="240"/>
        <w:rPr>
          <w:lang w:val="el" w:eastAsia="el"/>
        </w:rPr>
      </w:pPr>
      <w:r>
        <w:rPr>
          <w:lang w:val="el" w:eastAsia="el"/>
        </w:rPr>
        <w:t>(για άμεση ενημέρωση των Τελωνείων αρμοδιότητάς τους)</w:t>
      </w:r>
    </w:p>
    <w:p>
      <w:pPr>
        <w:spacing w:before="240" w:after="240"/>
        <w:rPr>
          <w:lang w:val="el" w:eastAsia="el"/>
        </w:rPr>
      </w:pPr>
      <w:r>
        <w:rPr>
          <w:lang w:val="el" w:eastAsia="el"/>
        </w:rPr>
        <w:t>ΚΟΙΝ: Όπως Πίνακας Διανομής</w:t>
      </w:r>
    </w:p>
    <w:p>
      <w:pPr>
        <w:spacing w:before="240" w:after="240"/>
        <w:rPr>
          <w:lang w:val="el" w:eastAsia="el"/>
        </w:rPr>
      </w:pPr>
      <w:r>
        <w:rPr>
          <w:b/>
          <w:bCs/>
          <w:lang w:val="el" w:eastAsia="el"/>
        </w:rPr>
        <w:t>Θέμα: «</w:t>
      </w:r>
      <w:r>
        <w:rPr>
          <w:lang w:val="el" w:eastAsia="el"/>
        </w:rPr>
        <w:t>Έναρξη διαδικασίας κατά των επιδοτήσεων σχετικά με τις εισαγωγές προϊόντων συνεχούς νήματος από γυάλινες ίνες καταγωγής Αιγύπτου».</w:t>
      </w:r>
    </w:p>
    <w:p>
      <w:pPr>
        <w:spacing w:before="240" w:after="240"/>
        <w:rPr>
          <w:lang w:val="el" w:eastAsia="el"/>
        </w:rPr>
      </w:pPr>
      <w:r>
        <w:rPr>
          <w:b/>
          <w:bCs/>
          <w:lang w:val="el" w:eastAsia="el"/>
        </w:rPr>
        <w:t xml:space="preserve">Α. </w:t>
      </w:r>
      <w:r>
        <w:rPr>
          <w:lang w:val="el" w:eastAsia="el"/>
        </w:rPr>
        <w:t>Με την υπ΄αριθμ. 15 Ανακοίνωση της Επιτροπής, η οποία δημοσιεύθηκε στην Επίσημη Εφημερίδα της ΕΕ (σειρά C 192/07.06.2019) , η Επιτροπή ενημερώνει τα Κράτη – Μέλη , για την έναρξη διαδικασίας κατά των επιδοτήσεων για το ακόλουθο προϊόν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1"/>
        <w:gridCol w:w="1813"/>
        <w:gridCol w:w="1424"/>
        <w:gridCol w:w="23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Γυάλινες ίνες κομμένες, με μήκος που δεν υπερβαίνει τα 50 mm («ίνες κομμένες»)· γυάλινες ίνες με απανωτές στρώσεις, εξαιρουμένων των γυάλινων ινών με απανωτές στρώσεις που υφίστανται ειδική επεξεργασία εμποτισμού και επικάλυψης και παρουσιάζουν απώλεια στη διαπύρωση μεγαλύτερη του 3 % (όπως καθορίζεται βάσει του προτύπου ISO 1887)·(«ίνες με απανωτές στρώσεις»)· και παραπετάσματα κατασκευασμένα από νήμα από γυάλινες ίνες, εξαιρουμένων των παραπετασμάτων από υαλοβάμβακα, («παραπετάσματα») («το προϊόν που αποτελεί αντικείμενο της έρευνας»).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70191100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ex70191200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70193100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(κωδικοί Taric</w:t>
            </w:r>
          </w:p>
          <w:p>
            <w:pPr>
              <w:spacing w:before="240" w:after="240"/>
              <w:rPr>
                <w:b w:val="0"/>
                <w:bCs w:val="0"/>
                <w:i w:val="0"/>
                <w:iCs w:val="0"/>
                <w:smallCaps w:val="0"/>
                <w:color w:val="000000"/>
                <w:lang w:val="el" w:eastAsia="el"/>
              </w:rPr>
            </w:pPr>
            <w:r>
              <w:rPr>
                <w:b w:val="0"/>
                <w:bCs w:val="0"/>
                <w:i w:val="0"/>
                <w:iCs w:val="0"/>
                <w:smallCaps w:val="0"/>
                <w:color w:val="000000"/>
                <w:lang w:val="el" w:eastAsia="el"/>
              </w:rPr>
              <w:t>7019120022</w:t>
            </w:r>
          </w:p>
          <w:p>
            <w:pPr>
              <w:spacing w:before="240" w:after="240"/>
              <w:rPr>
                <w:b w:val="0"/>
                <w:bCs w:val="0"/>
                <w:i w:val="0"/>
                <w:iCs w:val="0"/>
                <w:smallCaps w:val="0"/>
                <w:color w:val="000000"/>
                <w:lang w:val="el" w:eastAsia="el"/>
              </w:rPr>
            </w:pPr>
            <w:r>
              <w:rPr>
                <w:b w:val="0"/>
                <w:bCs w:val="0"/>
                <w:i w:val="0"/>
                <w:iCs w:val="0"/>
                <w:smallCaps w:val="0"/>
                <w:color w:val="000000"/>
                <w:lang w:val="el" w:eastAsia="el"/>
              </w:rPr>
              <w:t>7019120025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7019120026</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7019120039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Αιγύπτου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07.06.2019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C192/07.06.2019</w:t>
            </w:r>
          </w:p>
          <w:p>
            <w:pPr>
              <w:spacing w:before="240"/>
              <w:rPr>
                <w:b w:val="0"/>
                <w:bCs w:val="0"/>
                <w:i w:val="0"/>
                <w:iCs w:val="0"/>
                <w:smallCaps w:val="0"/>
                <w:color w:val="000000"/>
                <w:lang w:val="el" w:eastAsia="el"/>
              </w:rPr>
            </w:pPr>
            <w:r>
              <w:rPr>
                <w:b w:val="0"/>
                <w:bCs w:val="0"/>
                <w:i w:val="0"/>
                <w:iCs w:val="0"/>
                <w:smallCaps w:val="0"/>
                <w:color w:val="000000"/>
                <w:lang w:val="el" w:eastAsia="el"/>
              </w:rPr>
              <w:t>Έναρξη διαδικασίας κατά των επιδοτήσεων</w:t>
            </w:r>
          </w:p>
        </w:tc>
      </w:tr>
    </w:tbl>
    <w:p>
      <w:pPr>
        <w:spacing w:before="240" w:after="240"/>
        <w:rPr>
          <w:lang w:val="el" w:eastAsia="el"/>
        </w:rPr>
      </w:pPr>
      <w:r>
        <w:rPr>
          <w:lang w:val="el" w:eastAsia="el"/>
        </w:rPr>
        <w:t>Οι εν λόγω κωδικοί ΣΟ παρατίθεται για πληροφοριακούς και μόνο λόγους</w:t>
      </w:r>
    </w:p>
    <w:p>
      <w:pPr>
        <w:spacing w:before="240" w:after="240"/>
        <w:rPr>
          <w:lang w:val="el" w:eastAsia="el"/>
        </w:rPr>
      </w:pPr>
      <w:r>
        <w:rPr>
          <w:b/>
          <w:bCs/>
          <w:lang w:val="el" w:eastAsia="el"/>
        </w:rPr>
        <w:t xml:space="preserve">Β. </w:t>
      </w:r>
      <w:r>
        <w:rPr>
          <w:lang w:val="el" w:eastAsia="el"/>
        </w:rPr>
        <w:t>Σας υπενθυμίζουμε ότι :</w:t>
      </w:r>
    </w:p>
    <w:p>
      <w:pPr>
        <w:spacing w:before="240" w:after="240"/>
        <w:rPr>
          <w:lang w:val="el" w:eastAsia="el"/>
        </w:rPr>
      </w:pPr>
      <w:r>
        <w:rPr>
          <w:lang w:val="el" w:eastAsia="el"/>
        </w:rPr>
        <w:t>▪ σύμφωνα με το άρθρο 10, παραγρ. 14 του ΚΑΝ (ΕΚ) αριθ. 1037/2016 του Συμβουλίου, η διεξαγωγή έρευνας για επιβολή αντισταθμιστικών δασμών, δεν εμποδίζει τις διαδικασίες τελωνισμού,</w:t>
      </w:r>
    </w:p>
    <w:p>
      <w:pPr>
        <w:spacing w:before="240" w:after="240"/>
        <w:rPr>
          <w:lang w:val="el" w:eastAsia="el"/>
        </w:rPr>
      </w:pPr>
      <w:r>
        <w:rPr>
          <w:lang w:val="el" w:eastAsia="el"/>
        </w:rPr>
        <w:t xml:space="preserve">▪ σύμφωνα με το άρθρο 11, παραγρ. 9 του ΚΑΝ (ΕΚ) αριθ. 1037/2016 </w:t>
      </w:r>
    </w:p>
    <w:p>
      <w:pPr>
        <w:spacing w:before="240" w:after="240"/>
        <w:rPr>
          <w:lang w:val="el" w:eastAsia="el"/>
        </w:rPr>
      </w:pPr>
      <w:r>
        <w:rPr>
          <w:lang w:val="el" w:eastAsia="el"/>
        </w:rPr>
        <w:t>του Συμβουλίου, η έρευνα γιαεπιβολή αντισταθμιστικών δασμών περατώνεται εντός 13 μηνών από την έναρξη της διαδικασίας,</w:t>
      </w:r>
    </w:p>
    <w:p>
      <w:pPr>
        <w:spacing w:before="240" w:after="240"/>
        <w:rPr>
          <w:lang w:val="el" w:eastAsia="el"/>
        </w:rPr>
      </w:pPr>
      <w:r>
        <w:rPr>
          <w:lang w:val="el" w:eastAsia="el"/>
        </w:rPr>
        <w:t>▪ σύμφωνα με το άρθρο 12, παραγρ. 1 του ΚΑΝ (ΕΚ) αριθ. 1037/2016 του Συμβουλίου, η επιβολή προσωρινών αντισταθμιστικών δασμών, δεν επιτρέπεται πριν από την πάροδο 60 ημερών και μετά την παρέλευση 9 μηνών, από την έναρξη της διαδικασίας.</w:t>
      </w:r>
    </w:p>
    <w:p>
      <w:pPr>
        <w:spacing w:before="240" w:after="240"/>
        <w:rPr>
          <w:lang w:val="el" w:eastAsia="el"/>
        </w:rPr>
      </w:pPr>
      <w:r>
        <w:rPr>
          <w:lang w:val="el" w:eastAsia="el"/>
        </w:rPr>
        <w:t>Κατόπιν των ανωτέρω, παρακαλούνται :</w:t>
      </w:r>
    </w:p>
    <w:p>
      <w:pPr>
        <w:spacing w:before="240" w:after="240"/>
        <w:rPr>
          <w:lang w:val="el" w:eastAsia="el"/>
        </w:rPr>
      </w:pPr>
      <w:r>
        <w:rPr>
          <w:lang w:val="el" w:eastAsia="el"/>
        </w:rPr>
        <w:t xml:space="preserve">1 </w:t>
      </w:r>
      <w:r>
        <w:rPr>
          <w:b/>
          <w:bCs/>
          <w:lang w:val="el" w:eastAsia="el"/>
        </w:rPr>
        <w:t xml:space="preserve">. </w:t>
      </w:r>
      <w:r>
        <w:rPr>
          <w:lang w:val="el" w:eastAsia="el"/>
        </w:rPr>
        <w:t>Οι Προϊστάμενοι των Τελωνειακών Περιφερειών για την ενημέρωση των Τελωνείων δικαιοδοσίας τους και</w:t>
      </w:r>
    </w:p>
    <w:p>
      <w:pPr>
        <w:spacing w:before="240" w:after="240"/>
        <w:rPr>
          <w:lang w:val="el" w:eastAsia="el"/>
        </w:rPr>
      </w:pPr>
      <w:r>
        <w:rPr>
          <w:lang w:val="el" w:eastAsia="el"/>
        </w:rPr>
        <w:t xml:space="preserve">2 </w:t>
      </w:r>
      <w:r>
        <w:rPr>
          <w:b/>
          <w:bCs/>
          <w:lang w:val="el" w:eastAsia="el"/>
        </w:rPr>
        <w:t>.</w:t>
      </w:r>
      <w:r>
        <w:rPr>
          <w:lang w:val="el" w:eastAsia="el"/>
        </w:rPr>
        <w:t>Τα Τελωνεία εισαγωγής να προσθέσουν , με το αποστελλόμενο φύλλο , τo φύλλο 4 του πίνακα προϊόντων για τα οποία διεξάγεται έρευνα κατά των επιδοτήσεων ).</w:t>
      </w:r>
    </w:p>
    <w:p>
      <w:pPr>
        <w:spacing w:before="240" w:after="240"/>
        <w:rPr>
          <w:lang w:val="el" w:eastAsia="el"/>
        </w:rPr>
      </w:pPr>
      <w:r>
        <w:rPr>
          <w:b/>
          <w:bCs/>
          <w:u w:val="single"/>
          <w:lang w:val="el" w:eastAsia="el"/>
        </w:rPr>
        <w:t>Συνημμένα</w:t>
      </w:r>
      <w:r>
        <w:rPr>
          <w:b/>
          <w:bCs/>
          <w:lang w:val="el" w:eastAsia="el"/>
        </w:rPr>
        <w:t xml:space="preserve"> : </w:t>
      </w:r>
      <w:r>
        <w:rPr>
          <w:lang w:val="el" w:eastAsia="el"/>
        </w:rPr>
        <w:t>1</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A. ΑΠΟΔΕΚΤΕΣ ΓΙΑ ΚΟΙΝΟΠΟΙΗΣΗ</w:t>
      </w:r>
    </w:p>
    <w:p>
      <w:pPr>
        <w:spacing w:before="240" w:after="240"/>
        <w:rPr>
          <w:lang w:val="el" w:eastAsia="el"/>
        </w:rPr>
      </w:pPr>
      <w:r>
        <w:rPr>
          <w:lang w:val="el" w:eastAsia="el"/>
        </w:rPr>
        <w:t>1. ΕΛ.Υ.Τ Αττικής</w:t>
      </w:r>
    </w:p>
    <w:p>
      <w:pPr>
        <w:spacing w:before="240" w:after="240"/>
        <w:rPr>
          <w:lang w:val="el" w:eastAsia="el"/>
        </w:rPr>
      </w:pPr>
      <w:r>
        <w:rPr>
          <w:lang w:val="el" w:eastAsia="el"/>
        </w:rPr>
        <w:t>2. ΕΛ.Υ.Τ Θεσ/νίκης</w:t>
      </w:r>
    </w:p>
    <w:p>
      <w:pPr>
        <w:spacing w:before="240" w:after="240"/>
        <w:rPr>
          <w:lang w:val="el" w:eastAsia="el"/>
        </w:rPr>
      </w:pPr>
      <w:r>
        <w:rPr>
          <w:lang w:val="el" w:eastAsia="el"/>
        </w:rPr>
        <w:t>3. Δ/νση Ηλεκτρονικού Τελωνείου</w:t>
      </w:r>
    </w:p>
    <w:p>
      <w:pPr>
        <w:spacing w:before="240" w:after="240"/>
        <w:rPr>
          <w:lang w:val="el" w:eastAsia="el"/>
        </w:rPr>
      </w:pPr>
      <w:r>
        <w:rPr>
          <w:lang w:val="el" w:eastAsia="el"/>
        </w:rPr>
        <w:t>4. Γεν. Χημείο του Κράτους – Δ/νση Χημικοτεχνική Δασμολογίου</w:t>
      </w:r>
    </w:p>
    <w:p>
      <w:pPr>
        <w:spacing w:before="240" w:after="240"/>
        <w:rPr>
          <w:lang w:val="el" w:eastAsia="el"/>
        </w:rPr>
      </w:pPr>
      <w:r>
        <w:rPr>
          <w:lang w:val="el" w:eastAsia="el"/>
        </w:rPr>
        <w:t>5. Σύνδεσμος Ελλήνων Βιομηχάνων – Ξενοφώντος 5</w:t>
      </w:r>
    </w:p>
    <w:p>
      <w:pPr>
        <w:spacing w:before="240" w:after="240"/>
        <w:rPr>
          <w:lang w:val="el" w:eastAsia="el"/>
        </w:rPr>
      </w:pPr>
      <w:r>
        <w:rPr>
          <w:lang w:val="el" w:eastAsia="el"/>
        </w:rPr>
        <w:t>6. Κεντρική ΄Ενωση Επιμελητηρίων</w:t>
      </w:r>
    </w:p>
    <w:p>
      <w:pPr>
        <w:spacing w:before="240" w:after="240"/>
        <w:rPr>
          <w:lang w:val="el" w:eastAsia="el"/>
        </w:rPr>
      </w:pPr>
      <w:r>
        <w:rPr>
          <w:lang w:val="el" w:eastAsia="el"/>
        </w:rPr>
        <w:t>7. Ομοσπονδία Εκτελωνιστών Ελλάδος – Τσαμαδού 38 Πειραιάς</w:t>
      </w:r>
    </w:p>
    <w:p>
      <w:pPr>
        <w:spacing w:before="240" w:after="240"/>
        <w:rPr>
          <w:lang w:val="el" w:eastAsia="el"/>
        </w:rPr>
      </w:pPr>
      <w:r>
        <w:rPr>
          <w:lang w:val="el" w:eastAsia="el"/>
        </w:rPr>
        <w:t>8. Σύλλογος Εκτελωνιστών Αθήνας – Πειραιά</w:t>
      </w:r>
    </w:p>
    <w:p>
      <w:pPr>
        <w:spacing w:before="240" w:after="240"/>
        <w:rPr>
          <w:lang w:val="el" w:eastAsia="el"/>
        </w:rPr>
      </w:pPr>
      <w:r>
        <w:rPr>
          <w:lang w:val="el" w:eastAsia="el"/>
        </w:rPr>
        <w:t>9. Σύλλογος Εκτελωνιστών Θεσ/νίκης</w:t>
      </w:r>
    </w:p>
    <w:p>
      <w:pPr>
        <w:spacing w:before="240" w:after="240"/>
        <w:rPr>
          <w:lang w:val="el" w:eastAsia="el"/>
        </w:rPr>
      </w:pPr>
      <w:r>
        <w:rPr>
          <w:b/>
          <w:bCs/>
          <w:lang w:val="el" w:eastAsia="el"/>
        </w:rPr>
        <w:t xml:space="preserve">Β. </w:t>
      </w:r>
      <w:r>
        <w:rPr>
          <w:b/>
          <w:bCs/>
          <w:u w:val="single"/>
          <w:lang w:val="el" w:eastAsia="el"/>
        </w:rPr>
        <w:t>ΕΣΩΤΕΡΙΚΗ ΔΙΑΝΟΜΗ</w:t>
      </w:r>
    </w:p>
    <w:p>
      <w:pPr>
        <w:spacing w:before="240" w:after="240"/>
        <w:rPr>
          <w:lang w:val="el" w:eastAsia="el"/>
        </w:rPr>
      </w:pPr>
      <w:r>
        <w:rPr>
          <w:lang w:val="el" w:eastAsia="el"/>
        </w:rPr>
        <w:t>1. Γραφείο κ.Διοικητή Α.Α.Δ.Ε.</w:t>
      </w:r>
    </w:p>
    <w:p>
      <w:pPr>
        <w:spacing w:before="240" w:after="240"/>
        <w:rPr>
          <w:lang w:val="el" w:eastAsia="el"/>
        </w:rPr>
      </w:pPr>
      <w:r>
        <w:rPr>
          <w:lang w:val="el" w:eastAsia="el"/>
        </w:rPr>
        <w:t>2. Γραφείο Γεν. Δ/ντη Τελωνείων &amp; Ε.Φ.Κ</w:t>
      </w:r>
    </w:p>
    <w:p>
      <w:pPr>
        <w:spacing w:before="240" w:after="240"/>
        <w:rPr>
          <w:lang w:val="el" w:eastAsia="el"/>
        </w:rPr>
      </w:pPr>
      <w:r>
        <w:rPr>
          <w:lang w:val="el" w:eastAsia="el"/>
        </w:rPr>
        <w:t>3. Δ/νσεις : Τελ.Διαδικασιών, Σ.Τ.Ε.Π., ΕΦ.Κ &amp; ΦΠΑ</w:t>
      </w:r>
    </w:p>
    <w:p>
      <w:pPr>
        <w:spacing w:before="240" w:after="240"/>
        <w:rPr>
          <w:lang w:val="el" w:eastAsia="el"/>
        </w:rPr>
      </w:pPr>
      <w:r>
        <w:rPr>
          <w:lang w:val="el" w:eastAsia="el"/>
        </w:rPr>
        <w:t>4. Δ/νση Διεθνών Οικονομικών Σχέσεων - Τμήμα Β΄ : Τελωνειακών Θεμάτων</w:t>
      </w:r>
    </w:p>
    <w:p>
      <w:pPr>
        <w:spacing w:before="240" w:after="240"/>
        <w:rPr>
          <w:lang w:val="el" w:eastAsia="el"/>
        </w:rPr>
      </w:pPr>
      <w:r>
        <w:rPr>
          <w:lang w:val="el" w:eastAsia="el"/>
        </w:rPr>
        <w:t xml:space="preserve">5. Δ/νση Δ.Θ.Ε.Κ.Α. : </w:t>
      </w:r>
      <w:r>
        <w:rPr>
          <w:b/>
          <w:bCs/>
          <w:lang w:val="el" w:eastAsia="el"/>
        </w:rPr>
        <w:t xml:space="preserve">α. </w:t>
      </w:r>
      <w:r>
        <w:rPr>
          <w:lang w:val="el" w:eastAsia="el"/>
        </w:rPr>
        <w:t>Γραφείο Προϊσταμένου Δ/νσης</w:t>
      </w:r>
    </w:p>
    <w:p>
      <w:pPr>
        <w:spacing w:before="240" w:after="240"/>
        <w:rPr>
          <w:lang w:val="el" w:eastAsia="el"/>
        </w:rPr>
      </w:pPr>
      <w:r>
        <w:rPr>
          <w:b/>
          <w:bCs/>
          <w:lang w:val="el" w:eastAsia="el"/>
        </w:rPr>
        <w:t xml:space="preserve">β. </w:t>
      </w:r>
      <w:r>
        <w:rPr>
          <w:lang w:val="el" w:eastAsia="el"/>
        </w:rPr>
        <w:t>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