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ΕΦΑΡΜΟΓΗΣ ΑΜΕΣΗΣ ΦΟΡΟΛΟΓΙΑΣ 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2132122400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deef.a@ 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της υπ’ αριθμ. 23/2020 Γνωμοδότησης του Νομικού Συμβουλίου του Κράτους περί της ευθύνης μελών αστικής εταιρείας για υποχρεώσεις που γεννήθηκαν πριν την έναρξη ισχύος του ν. 4072/2012, μετά την προσθήκη της παραγράφου 4 στο άρθρο 294 του νόμου αυτού με το άρθρο 103 του ν. 4605/2019.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για ενημέρωση και εφαρμογή, την υπ’ αριθμ. 23/2020 Γνωμοδότηση του Β΄ Τμήματος του Ν.Σ.Κ., η οποία έγινε αποδεκτή από τον Διοικητή της Ανεξάρτητης Αρχής Δημοσίων Εσόδων: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την ως άνω Γνωμοδότηση έγινε, ομόφωνα, δεκτό, ότι η διάταξη της παρ. 4 του άρθρου 294 του ν.4072/2012, που προστέθηκε με το άρθρο 103 του ν.4605/2019, εφαρμόζεται (και) σε οφειλές (κύριες και πρόσθετες) αστικής κερδοσκοπικής εταιρείας από φόρους, όπως εν προκειμένω Φ.Π.Α. και παρακρατούμενους φόρους, εφόσον βεβαίως συντρέχουν οι ειδικότερες προϋποθέσεις εφαρμογής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Ακολουθεί η υπ’ αριθ. 23/2020 Γνωμοδότηση του ΝΣΚ ως έχει και παρακαλούμε για τις δικές σας ενέργειες κατά το μέρος της αρμοδιότητάς 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 εκτός του αριθ.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για ανάρτηση στην ιστοσελίδα της ΑΑΔΕ και στην Ηλεκτρονική Βιβλιοθήκη.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μόνο ο αριθ.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» » 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» »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» » Θ΄ μόνο οι αριθ. 1-10, 13, 14,17, 18 και 26.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» »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» » ΙΑ΄ μόνο ο αριθ.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» »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» »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» » ΙΗ΄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» » ΙΘ΄ μόνο οι αριθ. 11-15, 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» » Κ΄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Νομικής Υποστήριξης της Α.Α.Δ.Ε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ΔΕΕΦ – ΤΜΗΜΑ Α΄ «ΦΠΑ»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ΔΕΑΦ – ΤΜΗΜΑ Β’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