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r>
        <w:rPr>
          <w:b/>
          <w:bCs/>
          <w:lang w:val="el" w:eastAsia="el"/>
        </w:rPr>
        <w:t xml:space="preserve"> ΛΑΔΕ</w:t>
      </w:r>
    </w:p>
    <w:p>
      <w:pPr>
        <w:pStyle w:val="Title"/>
        <w:spacing w:before="120" w:after="360"/>
        <w:rPr>
          <w:lang w:val="el" w:eastAsia="el"/>
        </w:rPr>
      </w:pPr>
      <w:r>
        <w:rPr>
          <w:lang w:val="el" w:eastAsia="el"/>
        </w:rPr>
        <w:t>Ανεξάρτητη Αρχή</w:t>
      </w:r>
    </w:p>
    <w:p>
      <w:pPr>
        <w:pStyle w:val="Title"/>
        <w:spacing w:before="120" w:after="360"/>
        <w:rPr>
          <w:lang w:val="el" w:eastAsia="el"/>
        </w:rPr>
      </w:pPr>
      <w:r>
        <w:rPr>
          <w:b/>
          <w:bCs/>
          <w:lang w:val="el" w:eastAsia="el"/>
        </w:rPr>
        <w:t xml:space="preserve">StfiSS </w:t>
      </w:r>
      <w:r>
        <w:rPr>
          <w:lang w:val="el" w:eastAsia="el"/>
        </w:rPr>
        <w:t>Δημοσίων Εσόδων</w:t>
      </w:r>
      <w:r>
        <w:rPr>
          <w:b/>
          <w:bCs/>
          <w:lang w:val="el" w:eastAsia="el"/>
        </w:rPr>
        <w:t>ΕΙΩΝ ΚΑΙ Ε.Φ.Κ.</w:t>
      </w:r>
    </w:p>
    <w:p>
      <w:pPr>
        <w:pStyle w:val="Title"/>
        <w:spacing w:before="120" w:after="360"/>
        <w:rPr>
          <w:lang w:val="el" w:eastAsia="el"/>
        </w:rPr>
      </w:pPr>
      <w:r>
        <w:rPr>
          <w:b/>
          <w:bCs/>
          <w:lang w:val="el" w:eastAsia="el"/>
        </w:rPr>
        <w:t>ΔΙΕΥΘΥΝΣΗ Ε.Φ.Κ. ΚΑΙ Φ.Π.Α.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Πληροφορίες : Ε. Κερασιώτη</w:t>
      </w:r>
    </w:p>
    <w:p>
      <w:pPr>
        <w:spacing w:before="240" w:after="240"/>
        <w:rPr>
          <w:lang w:val="el" w:eastAsia="el"/>
        </w:rPr>
      </w:pPr>
      <w:r>
        <w:rPr>
          <w:b/>
          <w:bCs/>
          <w:lang w:val="el" w:eastAsia="el"/>
        </w:rPr>
        <w:t>Τηλέφωνο: 210 6987414</w:t>
      </w:r>
    </w:p>
    <w:p>
      <w:pPr>
        <w:spacing w:before="240" w:after="240"/>
        <w:rPr>
          <w:lang w:val="el" w:eastAsia="el"/>
        </w:rPr>
      </w:pPr>
      <w:r>
        <w:rPr>
          <w:b/>
          <w:bCs/>
          <w:lang w:val="el" w:eastAsia="el"/>
        </w:rPr>
        <w:t>2. ΓΕΝΙΚΗ ΔΙΕΥΘΥΝΣΗ ΓΕΝΙΚΟΥ ΧΗΜΕΙΟΥ ΤΟΥ ΚΡΑΤΟΥΣ ΔΙΕΥΘΥΝΣΗ ΑΛΚΟΟΛΗΣ &amp; ΤΡΟΦΙΜΩΝ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Πληροφορίες: Στ. Καραγιάννης</w:t>
      </w:r>
    </w:p>
    <w:p>
      <w:pPr>
        <w:spacing w:before="240" w:after="240"/>
        <w:rPr>
          <w:lang w:val="el" w:eastAsia="el"/>
        </w:rPr>
      </w:pPr>
      <w:r>
        <w:rPr>
          <w:b/>
          <w:bCs/>
          <w:lang w:val="el" w:eastAsia="el"/>
        </w:rPr>
        <w:t>Τηλέφωνο : 210 6479231</w:t>
      </w:r>
    </w:p>
    <w:p>
      <w:pPr>
        <w:spacing w:before="240" w:after="240"/>
        <w:rPr>
          <w:lang w:val="el" w:eastAsia="el"/>
        </w:rPr>
      </w:pPr>
      <w:r>
        <w:rPr>
          <w:lang w:val="el" w:eastAsia="el"/>
        </w:rPr>
        <w:t xml:space="preserve">ΠΡΟΣ: </w:t>
      </w:r>
      <w:r>
        <w:rPr>
          <w:b/>
          <w:bCs/>
          <w:lang w:val="el" w:eastAsia="el"/>
        </w:rPr>
        <w:t>Ως πίνακας διανομής</w:t>
      </w:r>
    </w:p>
    <w:p>
      <w:pPr>
        <w:spacing w:before="240" w:after="240"/>
        <w:rPr>
          <w:lang w:val="el" w:eastAsia="el"/>
        </w:rPr>
      </w:pPr>
      <w:r>
        <w:rPr>
          <w:b/>
          <w:bCs/>
          <w:lang w:val="el" w:eastAsia="el"/>
        </w:rPr>
        <w:t>ΘΕΜΑ: Κοινοποίηση διατάξεων του άρθρου εικοστού τρίτου «Εισαγωγή μετουσιωμένης αιθυλικής αλκοόλης» της Πράξης Νομοθετικού Περιεχομένου (ΠΝΠ) της 20</w:t>
      </w:r>
      <w:r>
        <w:rPr>
          <w:b/>
          <w:bCs/>
          <w:sz w:val="30"/>
          <w:szCs w:val="30"/>
          <w:vertAlign w:val="superscript"/>
          <w:lang w:val="el" w:eastAsia="el"/>
        </w:rPr>
        <w:t>ης</w:t>
      </w:r>
      <w:r>
        <w:rPr>
          <w:b/>
          <w:bCs/>
          <w:lang w:val="el" w:eastAsia="el"/>
        </w:rPr>
        <w:t xml:space="preserve"> Μαρτίου 2020 (Α’ 68)</w:t>
      </w:r>
    </w:p>
    <w:p>
      <w:pPr>
        <w:spacing w:before="240" w:after="240"/>
        <w:rPr>
          <w:lang w:val="el" w:eastAsia="el"/>
        </w:rPr>
      </w:pPr>
      <w:r>
        <w:rPr>
          <w:lang w:val="el" w:eastAsia="el"/>
        </w:rPr>
        <w:t xml:space="preserve">Σας κοινοποιούμε για ενημέρωση και εφαρμογή τις διατάξεις του άρθρου εικοστού τρίτου της ΠΝΠ </w:t>
      </w:r>
      <w:r>
        <w:rPr>
          <w:b/>
          <w:bCs/>
          <w:lang w:val="el" w:eastAsia="el"/>
        </w:rPr>
        <w:t>της 20</w:t>
      </w:r>
      <w:r>
        <w:rPr>
          <w:b/>
          <w:bCs/>
          <w:sz w:val="30"/>
          <w:szCs w:val="30"/>
          <w:vertAlign w:val="superscript"/>
          <w:lang w:val="el" w:eastAsia="el"/>
        </w:rPr>
        <w:t>ης</w:t>
      </w:r>
      <w:r>
        <w:rPr>
          <w:b/>
          <w:bCs/>
          <w:lang w:val="el" w:eastAsia="el"/>
        </w:rPr>
        <w:t xml:space="preserve"> Μαρτίου 2020 (Α’ 68) </w:t>
      </w:r>
      <w:r>
        <w:rPr>
          <w:lang w:val="el" w:eastAsia="el"/>
        </w:rPr>
        <w:t xml:space="preserve">με το οποίο δίνεται με απόφαση του Υπουργού́ Ανάπτυξης και Επενδύσεων άδεια εισαγωγής από τρίτες χώρες, </w:t>
      </w:r>
      <w:r>
        <w:rPr>
          <w:b/>
          <w:bCs/>
          <w:lang w:val="el" w:eastAsia="el"/>
        </w:rPr>
        <w:t xml:space="preserve">μετουσιωμένης αιθυλικής αλκοόλης με φθαλικό διαιθυλεστέρα (DEP) σε ποσοστό 0,2 γραμμάρια ανά λίτρο ένυδρης αιθυλικής αλκοόλης αλκοολικού τίτλου τουλάχιστον 95% vol </w:t>
      </w:r>
      <w:r>
        <w:rPr>
          <w:lang w:val="el" w:eastAsia="el"/>
        </w:rPr>
        <w:t>για το διάστημα που εξακολουθεί να υφίσταται άμεσος κίνδυνος εμφάνισης και διασποράς του κορωνοϊού COVID-19 και πάντως για χρονικό διάστημα που δεν μπορεί να υπερβαίνει τους τέσσερεις (4) μήνες από την έναρξη ισχύος της παρούσας η οποία είναι η 20</w:t>
      </w:r>
      <w:r>
        <w:rPr>
          <w:sz w:val="30"/>
          <w:szCs w:val="30"/>
          <w:vertAlign w:val="superscript"/>
          <w:lang w:val="el" w:eastAsia="el"/>
        </w:rPr>
        <w:t>η</w:t>
      </w:r>
      <w:r>
        <w:rPr>
          <w:lang w:val="el" w:eastAsia="el"/>
        </w:rPr>
        <w:t xml:space="preserve"> Μαρτίου 2020.</w:t>
      </w:r>
    </w:p>
    <w:p>
      <w:pPr>
        <w:spacing w:before="240" w:after="240"/>
        <w:rPr>
          <w:lang w:val="el" w:eastAsia="el"/>
        </w:rPr>
      </w:pPr>
      <w:r>
        <w:rPr>
          <w:lang w:val="el" w:eastAsia="el"/>
        </w:rPr>
        <w:t>Σημειώνεται ότι σύμφωνα με την παράγραφο 2 του εν λόγω άρθρου η εισαγωγή της μετουσιωμένης αιθυλικής αλκοόλης προορίζεται αποκλειστικά για την παραγωγή αντισηπτικών προϊόντων από τα δικαιούμενα προς τούτο βιομηχανικά εργοστάσια ή βιοτεχνίες και τη διάθεση τους στην ελληνική επικράτεια.</w:t>
      </w:r>
    </w:p>
    <w:p>
      <w:pPr>
        <w:spacing w:before="240" w:after="240"/>
        <w:rPr>
          <w:lang w:val="el" w:eastAsia="el"/>
        </w:rPr>
      </w:pPr>
      <w:r>
        <w:rPr>
          <w:lang w:val="el" w:eastAsia="el"/>
        </w:rPr>
        <w:t>Επιπλέον κατά τα λοιπά και ειδικότερα όσον αφορά τις διαδικασίες και διατυπώσεις παραλαβής της μετουσιωμένης αιθυλικής αλκοόλης, τις υποχρεώσεις των παραληπτριών βιομηχανιών καθώς και των ελέγχων που πραγματοποιούνται για τη διαπίστωση της νόμιμης χρησιμοποίησης ισχύουν όσα προβλέπονται στην υπ. αριθ. Φ.1554/811/2008 (B΄2694) Α.Υ.Ο.Ο. για την παραλαβή μετουσιωμένης αιθυλικής αλκοόλης από κράτη μέλη της ΕΕ. Σημειώνεται ότι η προς εισαγωγή μετουσιωμένη αιθυλική αλκοόλη θα πρέπει να συνοδεύεται από πιστοποιητικό αρμόδιας αρχής του κράτους αποστολής ή στις περιπτώσεις που αυτό δεν είναι δυνατόν να προσκομιστεί, έκθεση εξέτασης από διαπιστευμένο εργαστήριο, σχετικά με το είδος και τη συγκέντρωση του χρησιμοποιηθέντος μετουσιωτικού, τα οποία θα πρέπει να είναι σύμφωνα με τις διατάξεις της παρούσας ΠΝΠ.</w:t>
      </w:r>
    </w:p>
    <w:p>
      <w:pPr>
        <w:spacing w:before="240" w:after="240"/>
        <w:rPr>
          <w:lang w:val="el" w:eastAsia="el"/>
        </w:rPr>
      </w:pPr>
      <w:r>
        <w:rPr>
          <w:lang w:val="el" w:eastAsia="el"/>
        </w:rPr>
        <w:t>Ειδικότερα επισημαίνεται ότι η εισαγωγή της μετουσιωμένης αιθυλικής αλκοόλης πραγματοποιείται με την τήρηση της ισχύουσας τελωνειακής νομοθεσίας και την υποβολή των κατά περίπτωση τελωνειακών παραστατικών υπό την προϋπόθεση ότι η μετουσίωση έχει πραγματοποιηθεί με φθαλικό διαιθυλεστέρα (DEP) σε ποσοστό 0,2 γραμμάρια ανά λίτρο ένυδρης αιθυλικής αλκοόλης αλκοολικού τίτλου τουλάχιστον 95% vol. Προς αποφυγή παρερμηνειών και συγχύσεων σημειώνεται ότι για την εισαγωγή της μετουσιωμένης αιθυλικής αλκοόλης δεν απαιτείται η τήρηση των διατυπώσεων του άρθρου 113 του ν.2960/01 καθόσον αυτές αφορούν την παραλαβή προϊόντων Ε.Φ.Κ. και ως εκ τούτου και της μετουσιωμένης αιθυλικής αλκοόλης από άλλα κράτη - μέλη.</w:t>
      </w:r>
    </w:p>
    <w:p>
      <w:pPr>
        <w:spacing w:before="240" w:after="240"/>
        <w:rPr>
          <w:lang w:val="el" w:eastAsia="el"/>
        </w:rPr>
      </w:pPr>
      <w:r>
        <w:rPr>
          <w:lang w:val="el" w:eastAsia="el"/>
        </w:rPr>
        <w:t>Με αφορμή την παρούσα κοινοποίηση και κατόπιν σχετικών ερωτημάτων που έχουν τεθεί από ενδιαφερόμενους επιτηδευματίες επισημαίνεται ότι η μετουσιωμένη αιθυλική αλκοόλη ορίζεται με σαφήνεια στις διατάξεις της παραγράφου 10 του άρθρου 3 του ν. 2969/2001 όπως ισχύει, ως «</w:t>
      </w:r>
      <w:r>
        <w:rPr>
          <w:i/>
          <w:iCs/>
          <w:lang w:val="el" w:eastAsia="el"/>
        </w:rPr>
        <w:t xml:space="preserve">η αιθυλική αλκοόλη γεωργικής προέλευσης (ουδέτερη ή ακατέργαστη) και μη, αλκοολικού τίτλου τουλάχιστον 95% vol., ως </w:t>
      </w:r>
      <w:r>
        <w:rPr>
          <w:i/>
          <w:iCs/>
          <w:u w:val="single"/>
          <w:lang w:val="el" w:eastAsia="el"/>
        </w:rPr>
        <w:t>και η συνθετική αιθυλική αλκοόλη</w:t>
      </w:r>
      <w:r>
        <w:rPr>
          <w:i/>
          <w:iCs/>
          <w:lang w:val="el" w:eastAsia="el"/>
        </w:rPr>
        <w:t xml:space="preserve"> στην οποία έχουν προστεθεί χημικές ουσίες, ώστε να αποκλείεται η χρησιμοποίησή της για παρασκευή αλκοολούχων ποτών χωρίς όμως να επηρεάζονται οι λοιπές βιομηχανικές της χρήσεις</w:t>
      </w:r>
      <w:r>
        <w:rPr>
          <w:lang w:val="el" w:eastAsia="el"/>
        </w:rPr>
        <w:t>». Η συνθετική αιθυλική αλκοόλη ορίζεται στις διατάξεις της παραγράφου 9Α(α) του άρθρου 3 του ν. 2969/2001 όπως ισχύει, ως «</w:t>
      </w:r>
      <w:r>
        <w:rPr>
          <w:i/>
          <w:iCs/>
          <w:lang w:val="el" w:eastAsia="el"/>
        </w:rPr>
        <w:t xml:space="preserve">η αιθυλική αλκοόλη που λαμβάνεται συνθετικά με εφαρμογή αποκλειστικά και μόνο χημικών μεθόδων συνήθως από τα προϊόντα και παραπροϊόντα της πετροχημικής βιομηχανίας ως και από συνθετικό αέριο … δυνάμενη να χρησιμοποιηθεί αποκλειστικά και μόνο για ειδικές βιομηχανικές χρήσεις </w:t>
      </w:r>
      <w:r>
        <w:rPr>
          <w:i/>
          <w:iCs/>
          <w:u w:val="single"/>
          <w:lang w:val="el" w:eastAsia="el"/>
        </w:rPr>
        <w:t>κατόπιν της προηγούμενης μετουσίωσής της</w:t>
      </w:r>
      <w:r>
        <w:rPr>
          <w:i/>
          <w:iCs/>
          <w:lang w:val="el" w:eastAsia="el"/>
        </w:rPr>
        <w:t xml:space="preserve"> …</w:t>
      </w:r>
      <w:r>
        <w:rPr>
          <w:lang w:val="el" w:eastAsia="el"/>
        </w:rPr>
        <w:t>». Ως γνωστόν, σύμφωνα με την ισχύουσα ενωσιακή και εθνική νομοθεσία, απαγορεύεται η χρησιμοποίηση της συνθετικής αιθυλικής αλκοόλης για παραγωγή ποτών και εν γένει τροφίμων.</w:t>
      </w:r>
    </w:p>
    <w:p>
      <w:pPr>
        <w:spacing w:before="240" w:after="240"/>
        <w:rPr>
          <w:lang w:val="el" w:eastAsia="el"/>
        </w:rPr>
      </w:pPr>
      <w:r>
        <w:rPr>
          <w:lang w:val="el" w:eastAsia="el"/>
        </w:rPr>
        <w:t>Συνεπώς, τόσο η αιθυλική αλκοόλη γεωργικής προέλευσης όσο και η συνθετική αιθυλική αλκοόλη μπορούν, κατόπιν της μετουσίωσής τους, να χρησιμοποιηθούν με απαλλαγή του Ε.Φ.Κ., σύμφωνα με τις σχετικές διατάξεις του ν. 2960/2001, για την παραγωγή προϊόντων από τα βιομηχανικά εργοστάσια ή τις βιοτεχνίες που χρησιμοποιούν την αιθυλική αλκοόλη ως πρώτη ή βοηθητική ύλη.</w:t>
      </w:r>
    </w:p>
    <w:p>
      <w:pPr>
        <w:spacing w:before="240" w:after="240"/>
        <w:rPr>
          <w:lang w:val="el" w:eastAsia="el"/>
        </w:rPr>
      </w:pPr>
      <w:r>
        <w:rPr>
          <w:lang w:val="el" w:eastAsia="el"/>
        </w:rPr>
        <w:t>Τέλος, επισημαίνεται ότι από τις κείμενες διατάξεις παρέχεται η δυνατότητα εισαγωγής από τρίτες χώρες της συνθετικής αιθυλικής αλκοόλης ωστόσο στην περίπτωση που ο εισαγωγέας δεν διαθέτει άδεια φορολογικής αποθήκης θα πρέπει μαζί με τις λοιπές δασμοφορολογικές επιβαρύνσεις να καταβάλει άμεσα και τον Ειδικό Φόρο Κατανάλωσης.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1. Χημικές Υπηρεσίες Γ.Χ.Κ.</w:t>
      </w:r>
    </w:p>
    <w:p>
      <w:pPr>
        <w:spacing w:before="240" w:after="240"/>
        <w:rPr>
          <w:lang w:val="el" w:eastAsia="el"/>
        </w:rPr>
      </w:pPr>
      <w:r>
        <w:rPr>
          <w:lang w:val="el" w:eastAsia="el"/>
        </w:rPr>
        <w:t>2. Τελωνεία Α΄, Β΄ &amp; Γ΄ Τάξης</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Ι. Δ/νση Στρατηγικής Τεχνολογιών Πληροφορικής (ΔΙ.Σ.ΤΕ.ΠΛ)</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 Ανάπτυξης Διαδικτυακών Ιστοτόπων και Διαχείρισης</w:t>
      </w:r>
    </w:p>
    <w:p>
      <w:pPr>
        <w:spacing w:before="240" w:after="240"/>
        <w:rPr>
          <w:lang w:val="el" w:eastAsia="el"/>
        </w:rPr>
      </w:pPr>
      <w:r>
        <w:rPr>
          <w:lang w:val="el" w:eastAsia="el"/>
        </w:rPr>
        <w:t>(για ενημέρωση της ηλεκτρονικής βιβλιοθήκης)</w:t>
      </w:r>
    </w:p>
    <w:p>
      <w:pPr>
        <w:spacing w:before="240" w:after="240"/>
        <w:rPr>
          <w:lang w:val="el" w:eastAsia="el"/>
        </w:rPr>
      </w:pPr>
      <w:r>
        <w:rPr>
          <w:lang w:val="el" w:eastAsia="el"/>
        </w:rPr>
        <w:t>ΙΙ. Διεύθυνση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w:t>
      </w:r>
    </w:p>
    <w:p>
      <w:pPr>
        <w:pStyle w:val="Heading1"/>
        <w:spacing w:before="240" w:after="240"/>
        <w:rPr>
          <w:lang w:val="el" w:eastAsia="el"/>
        </w:rPr>
      </w:pPr>
      <w:r>
        <w:rPr>
          <w:rStyle w:val="hierarchy-num"/>
          <w:lang w:val="el" w:eastAsia="el"/>
        </w:rPr>
        <w:t>Τμήμα Ε΄</w:t>
      </w:r>
    </w:p>
    <w:p>
      <w:pPr>
        <w:spacing w:before="240" w:after="240"/>
        <w:rPr>
          <w:lang w:val="el" w:eastAsia="el"/>
        </w:rPr>
      </w:pPr>
      <w:r>
        <w:rPr>
          <w:lang w:val="el" w:eastAsia="el"/>
        </w:rPr>
        <w:t>(για ανάρτηση στο portal)</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Δ/νση Νομικής Υποστήριξης Α.Α.Δ.Ε.</w:t>
      </w:r>
    </w:p>
    <w:p>
      <w:pPr>
        <w:spacing w:before="240" w:after="240"/>
        <w:rPr>
          <w:lang w:val="el" w:eastAsia="el"/>
        </w:rPr>
      </w:pPr>
      <w:r>
        <w:rPr>
          <w:lang w:val="el" w:eastAsia="el"/>
        </w:rPr>
        <w:t>4. Δ/νση Διεθνών Οικονομικών Σχέσεων (Δ.Ο.Σ.) Α.Α.Δ.Ε. - Τμήμα Β΄</w:t>
      </w:r>
    </w:p>
    <w:p>
      <w:pPr>
        <w:spacing w:before="240" w:after="240"/>
        <w:rPr>
          <w:lang w:val="el" w:eastAsia="el"/>
        </w:rPr>
      </w:pPr>
      <w:r>
        <w:rPr>
          <w:lang w:val="el" w:eastAsia="el"/>
        </w:rPr>
        <w:t>5. Αυτοτελές Τμήμα Συντονισμού Μεταρρυθμιστικών Δράσεων &amp; Επικοινωνίας Α.Α.Δ.Ε.</w:t>
      </w:r>
    </w:p>
    <w:p>
      <w:pPr>
        <w:spacing w:before="240" w:after="240"/>
        <w:rPr>
          <w:lang w:val="el" w:eastAsia="el"/>
        </w:rPr>
      </w:pPr>
      <w:r>
        <w:rPr>
          <w:lang w:val="el" w:eastAsia="el"/>
        </w:rPr>
        <w:t>6. Δ/νση Εσωτερικού Ελέγχου Α.Α.Δ.Ε</w:t>
      </w:r>
    </w:p>
    <w:p>
      <w:pPr>
        <w:spacing w:before="240" w:after="240"/>
        <w:rPr>
          <w:lang w:val="el" w:eastAsia="el"/>
        </w:rPr>
      </w:pPr>
      <w:r>
        <w:rPr>
          <w:lang w:val="el" w:eastAsia="el"/>
        </w:rPr>
        <w:t>7. Υπηρεσίες Ερευνών και Διασφάλισης Δημοσίων Εσόδων (Υ.Ε.Δ.Δ.Ε) Α.Α.Δ.Ε.</w:t>
      </w:r>
    </w:p>
    <w:p>
      <w:pPr>
        <w:spacing w:before="240" w:after="240"/>
        <w:rPr>
          <w:lang w:val="el" w:eastAsia="el"/>
        </w:rPr>
      </w:pPr>
      <w:r>
        <w:rPr>
          <w:lang w:val="el" w:eastAsia="el"/>
        </w:rPr>
        <w:t>8. Τελωνειακές Περιφέρειες Αττικής, Θεσσαλονίκης, Αχαΐας</w:t>
      </w:r>
    </w:p>
    <w:p>
      <w:pPr>
        <w:spacing w:before="240" w:after="240"/>
        <w:rPr>
          <w:lang w:val="el" w:eastAsia="el"/>
        </w:rPr>
      </w:pPr>
      <w:r>
        <w:rPr>
          <w:lang w:val="el" w:eastAsia="el"/>
        </w:rPr>
        <w:t>9. Γενική Διεύθυνση Διαχείρισης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 β) Διεύθυνση Οργάνωσης</w:t>
      </w:r>
    </w:p>
    <w:p>
      <w:pPr>
        <w:spacing w:before="240" w:after="240"/>
        <w:rPr>
          <w:lang w:val="el" w:eastAsia="el"/>
        </w:rPr>
      </w:pPr>
      <w:r>
        <w:rPr>
          <w:lang w:val="el" w:eastAsia="el"/>
        </w:rPr>
        <w:t>10 . Ελεγκτικές Υπηρεσίες Τελωνείων (ΕΛ.Υ.Τ) Αττικής, Θεσσαλονίκης</w:t>
      </w:r>
    </w:p>
    <w:p>
      <w:pPr>
        <w:spacing w:before="240" w:after="240"/>
        <w:rPr>
          <w:lang w:val="el" w:eastAsia="el"/>
        </w:rPr>
      </w:pPr>
      <w:r>
        <w:rPr>
          <w:lang w:val="el" w:eastAsia="el"/>
        </w:rPr>
        <w:t>11. Οικονομικό Επιμελητήριο Ελλάδος</w:t>
      </w:r>
    </w:p>
    <w:p>
      <w:pPr>
        <w:spacing w:before="240" w:after="240"/>
        <w:rPr>
          <w:lang w:val="el" w:eastAsia="el"/>
        </w:rPr>
      </w:pPr>
      <w:r>
        <w:rPr>
          <w:lang w:val="el" w:eastAsia="el"/>
        </w:rPr>
        <w:t>Μητροπόλεως 12-14, ΤΚ 105 63 –Αθήνα</w:t>
      </w:r>
    </w:p>
    <w:p>
      <w:pPr>
        <w:spacing w:before="240" w:after="240"/>
        <w:rPr>
          <w:lang w:val="el" w:eastAsia="el"/>
        </w:rPr>
      </w:pPr>
      <w:r>
        <w:rPr>
          <w:lang w:val="el" w:eastAsia="el"/>
        </w:rPr>
        <w:t>e-mail:</w:t>
      </w:r>
      <w:hyperlink r:id="rId4" w:history="1">
        <w:r>
          <w:rPr>
            <w:rStyle w:val="Hyperlink"/>
            <w:color w:val="0000EE"/>
            <w:u w:color="0000EE"/>
            <w:lang w:val="el" w:eastAsia="el"/>
          </w:rPr>
          <w:t>oee@oe-e.gr</w:t>
        </w:r>
      </w:hyperlink>
    </w:p>
    <w:p>
      <w:pPr>
        <w:spacing w:before="240" w:after="240"/>
        <w:rPr>
          <w:lang w:val="el" w:eastAsia="el"/>
        </w:rPr>
      </w:pPr>
      <w:r>
        <w:rPr>
          <w:lang w:val="el" w:eastAsia="el"/>
        </w:rPr>
        <w:t>12. Κεντρική Ένωση Επιμελητηρίων Ελλάδος</w:t>
      </w:r>
    </w:p>
    <w:p>
      <w:pPr>
        <w:spacing w:before="240" w:after="240"/>
        <w:rPr>
          <w:lang w:val="el" w:eastAsia="el"/>
        </w:rPr>
      </w:pPr>
      <w:r>
        <w:rPr>
          <w:lang w:val="el" w:eastAsia="el"/>
        </w:rPr>
        <w:t>Ακαδημίας 6, TK 106 71 - Αθήνα</w:t>
      </w:r>
    </w:p>
    <w:p>
      <w:pPr>
        <w:spacing w:before="240" w:after="240"/>
        <w:rPr>
          <w:lang w:val="el" w:eastAsia="el"/>
        </w:rPr>
      </w:pPr>
      <w:r>
        <w:rPr>
          <w:lang w:val="el" w:eastAsia="el"/>
        </w:rPr>
        <w:t>e-mail:</w:t>
      </w:r>
      <w:hyperlink r:id="rId5" w:history="1">
        <w:r>
          <w:rPr>
            <w:rStyle w:val="Hyperlink"/>
            <w:color w:val="0000EE"/>
            <w:u w:color="0000EE"/>
            <w:lang w:val="el" w:eastAsia="el"/>
          </w:rPr>
          <w:t>keeuhcci@uhc.gr</w:t>
        </w:r>
      </w:hyperlink>
    </w:p>
    <w:p>
      <w:pPr>
        <w:spacing w:before="240" w:after="240"/>
        <w:rPr>
          <w:lang w:val="el" w:eastAsia="el"/>
        </w:rPr>
      </w:pPr>
      <w:r>
        <w:rPr>
          <w:lang w:val="el" w:eastAsia="el"/>
        </w:rPr>
        <w:t>13. Εμπορικό και Βιομηχανικό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e-mail:</w:t>
      </w:r>
      <w:hyperlink r:id="rId6" w:history="1">
        <w:r>
          <w:rPr>
            <w:rStyle w:val="Hyperlink"/>
            <w:color w:val="0000EE"/>
            <w:u w:color="0000EE"/>
            <w:lang w:val="el" w:eastAsia="el"/>
          </w:rPr>
          <w:t>info@acc.gr</w:t>
        </w:r>
      </w:hyperlink>
    </w:p>
    <w:p>
      <w:pPr>
        <w:spacing w:before="240" w:after="240"/>
        <w:rPr>
          <w:lang w:val="el" w:eastAsia="el"/>
        </w:rPr>
      </w:pPr>
      <w:r>
        <w:rPr>
          <w:lang w:val="el" w:eastAsia="el"/>
        </w:rPr>
        <w:t>14. Βιοτεχνικό Επιμελητήριο Αθηνών</w:t>
      </w:r>
    </w:p>
    <w:p>
      <w:pPr>
        <w:spacing w:before="240" w:after="240"/>
        <w:rPr>
          <w:lang w:val="el" w:eastAsia="el"/>
        </w:rPr>
      </w:pPr>
      <w:r>
        <w:rPr>
          <w:lang w:val="el" w:eastAsia="el"/>
        </w:rPr>
        <w:t>Ακαδημίας 18, ΤΚ 106 71 – Αθήνα</w:t>
      </w:r>
    </w:p>
    <w:p>
      <w:pPr>
        <w:spacing w:before="240" w:after="240"/>
        <w:rPr>
          <w:lang w:val="el" w:eastAsia="el"/>
        </w:rPr>
      </w:pPr>
      <w:r>
        <w:rPr>
          <w:lang w:val="el" w:eastAsia="el"/>
        </w:rPr>
        <w:t>e-mail:</w:t>
      </w:r>
      <w:hyperlink r:id="rId7" w:history="1">
        <w:r>
          <w:rPr>
            <w:rStyle w:val="Hyperlink"/>
            <w:color w:val="0000EE"/>
            <w:u w:color="0000EE"/>
            <w:lang w:val="el" w:eastAsia="el"/>
          </w:rPr>
          <w:t>info@acsmi.gr</w:t>
        </w:r>
      </w:hyperlink>
    </w:p>
    <w:p>
      <w:pPr>
        <w:spacing w:before="240" w:after="240"/>
        <w:rPr>
          <w:lang w:val="el" w:eastAsia="el"/>
        </w:rPr>
      </w:pPr>
      <w:r>
        <w:rPr>
          <w:lang w:val="el" w:eastAsia="el"/>
        </w:rPr>
        <w:t>15 . Σύνδεσμος Ελληνικών Βιομηχανιών (Σ.Ε.Β.)</w:t>
      </w:r>
    </w:p>
    <w:p>
      <w:pPr>
        <w:spacing w:before="240" w:after="240"/>
        <w:rPr>
          <w:lang w:val="el" w:eastAsia="el"/>
        </w:rPr>
      </w:pPr>
      <w:r>
        <w:rPr>
          <w:lang w:val="el" w:eastAsia="el"/>
        </w:rPr>
        <w:t>Ξενοφώντος 5, Τ.Κ. 105 57 Αθήνα</w:t>
      </w:r>
    </w:p>
    <w:p>
      <w:pPr>
        <w:spacing w:before="240" w:after="240"/>
        <w:rPr>
          <w:lang w:val="el" w:eastAsia="el"/>
        </w:rPr>
      </w:pPr>
      <w:r>
        <w:rPr>
          <w:lang w:val="el" w:eastAsia="el"/>
        </w:rPr>
        <w:t>e-mail:</w:t>
      </w:r>
      <w:hyperlink r:id="rId8" w:history="1">
        <w:r>
          <w:rPr>
            <w:rStyle w:val="Hyperlink"/>
            <w:color w:val="0000EE"/>
            <w:u w:color="0000EE"/>
            <w:lang w:val="el" w:eastAsia="el"/>
          </w:rPr>
          <w:t>info@sev.org.gr</w:t>
        </w:r>
      </w:hyperlink>
    </w:p>
    <w:p>
      <w:pPr>
        <w:spacing w:before="240" w:after="240"/>
        <w:rPr>
          <w:lang w:val="el" w:eastAsia="el"/>
        </w:rPr>
      </w:pPr>
      <w:r>
        <w:rPr>
          <w:lang w:val="el" w:eastAsia="el"/>
        </w:rPr>
        <w:t>16. Ομοσπονδία Εκτελωνιστών Ελλάδας</w:t>
      </w:r>
    </w:p>
    <w:p>
      <w:pPr>
        <w:spacing w:before="240" w:after="240"/>
        <w:rPr>
          <w:lang w:val="el" w:eastAsia="el"/>
        </w:rPr>
      </w:pPr>
      <w:r>
        <w:rPr>
          <w:lang w:val="el" w:eastAsia="el"/>
        </w:rPr>
        <w:t>Καραΐσκου 82, ΤΚ 185 32 – ΠΕΙΡΑΙΑΣ</w:t>
      </w:r>
    </w:p>
    <w:p>
      <w:pPr>
        <w:spacing w:before="240" w:after="240"/>
        <w:rPr>
          <w:lang w:val="el" w:eastAsia="el"/>
        </w:rPr>
      </w:pPr>
      <w:r>
        <w:rPr>
          <w:lang w:val="el" w:eastAsia="el"/>
        </w:rPr>
        <w:t>e-mail:</w:t>
      </w:r>
      <w:hyperlink r:id="rId9" w:history="1">
        <w:r>
          <w:rPr>
            <w:rStyle w:val="Hyperlink"/>
            <w:color w:val="0000EE"/>
            <w:u w:color="0000EE"/>
            <w:lang w:val="el" w:eastAsia="el"/>
          </w:rPr>
          <w:t>oete@oete.gr</w:t>
        </w:r>
      </w:hyperlink>
    </w:p>
    <w:p>
      <w:pPr>
        <w:spacing w:before="240" w:after="240"/>
        <w:rPr>
          <w:lang w:val="el" w:eastAsia="el"/>
        </w:rPr>
      </w:pPr>
      <w:r>
        <w:rPr>
          <w:lang w:val="el" w:eastAsia="el"/>
        </w:rPr>
        <w:t>17. Σύλλογος Εκτελωνιστών Πειραιώς – Αθηνών</w:t>
      </w:r>
    </w:p>
    <w:p>
      <w:pPr>
        <w:spacing w:before="240" w:after="240"/>
        <w:rPr>
          <w:lang w:val="el" w:eastAsia="el"/>
        </w:rPr>
      </w:pPr>
      <w:r>
        <w:rPr>
          <w:lang w:val="el" w:eastAsia="el"/>
        </w:rPr>
        <w:t>Τσαμαδού 38, ΤΚ 185 31 – ΠΕΙΡΑΙΑΣ</w:t>
      </w:r>
    </w:p>
    <w:p>
      <w:pPr>
        <w:spacing w:before="240" w:after="240"/>
        <w:rPr>
          <w:lang w:val="el" w:eastAsia="el"/>
        </w:rPr>
      </w:pPr>
      <w:r>
        <w:rPr>
          <w:lang w:val="el" w:eastAsia="el"/>
        </w:rPr>
        <w:t>18. Σύνδεσμος Επιχειρήσεων και Βιομηχανιών (ΣΕΒ) (Με την παράκληση να ενημερώσει τα μέλη του) Ξενοφώντος 5, Τ.Κ. 105 57 Αθήνα, e-mail:</w:t>
      </w:r>
      <w:hyperlink r:id="rId10" w:history="1">
        <w:r>
          <w:rPr>
            <w:rStyle w:val="Hyperlink"/>
            <w:color w:val="0000EE"/>
            <w:u w:color="0000EE"/>
            <w:lang w:val="el" w:eastAsia="el"/>
          </w:rPr>
          <w:t>info@sev.org.gr</w:t>
        </w:r>
      </w:hyperlink>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Γεν. Δ/νση Τελωνείων &amp; Ε.Φ.Κ.</w:t>
      </w:r>
    </w:p>
    <w:p>
      <w:pPr>
        <w:spacing w:before="240" w:after="240"/>
        <w:rPr>
          <w:lang w:val="el" w:eastAsia="el"/>
        </w:rPr>
      </w:pPr>
      <w:r>
        <w:rPr>
          <w:lang w:val="el" w:eastAsia="el"/>
        </w:rPr>
        <w:t>α. Αυτοτελές Τμήμα Υποστήριξης Γενικής Διεύθυνσης Τελωνείων &amp; Ε.Φ.Κ</w:t>
      </w:r>
    </w:p>
    <w:p>
      <w:pPr>
        <w:spacing w:before="240" w:after="240"/>
        <w:rPr>
          <w:lang w:val="el" w:eastAsia="el"/>
        </w:rPr>
      </w:pPr>
      <w:r>
        <w:rPr>
          <w:lang w:val="el" w:eastAsia="el"/>
        </w:rPr>
        <w:t>β. Δ/νση Ειδικών Φόρων Κατανάλωσης &amp; Φ.Π.Α. - Τμήμα Β΄</w:t>
      </w:r>
    </w:p>
    <w:p>
      <w:pPr>
        <w:spacing w:before="240" w:after="240"/>
        <w:rPr>
          <w:lang w:val="el" w:eastAsia="el"/>
        </w:rPr>
      </w:pPr>
      <w:r>
        <w:rPr>
          <w:lang w:val="el" w:eastAsia="el"/>
        </w:rPr>
        <w:t>3. Γεν. Δ/νση Γενικού Χημείου του Κράτους</w:t>
      </w:r>
    </w:p>
    <w:p>
      <w:pPr>
        <w:spacing w:before="240" w:after="240"/>
        <w:rPr>
          <w:lang w:val="el" w:eastAsia="el"/>
        </w:rPr>
      </w:pPr>
      <w:r>
        <w:rPr>
          <w:lang w:val="el" w:eastAsia="el"/>
        </w:rPr>
        <w:t>α. Γραφείο κ. Γενικής Δ/ντριας Γ.Χ.Κ.</w:t>
      </w:r>
    </w:p>
    <w:p>
      <w:pPr>
        <w:spacing w:before="240" w:after="240"/>
        <w:rPr>
          <w:lang w:val="el" w:eastAsia="el"/>
        </w:rPr>
      </w:pPr>
      <w:r>
        <w:rPr>
          <w:lang w:val="el" w:eastAsia="el"/>
        </w:rPr>
        <w:t>β. Δ/νση Αλκοόλης και Τροφίμων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v.org.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e@oe-e.gr" TargetMode="External" /><Relationship Id="rId5" Type="http://schemas.openxmlformats.org/officeDocument/2006/relationships/hyperlink" Target="mailto:keeuhcci@uhc.gr" TargetMode="External" /><Relationship Id="rId6" Type="http://schemas.openxmlformats.org/officeDocument/2006/relationships/hyperlink" Target="mailto:info@acc.gr" TargetMode="External" /><Relationship Id="rId7" Type="http://schemas.openxmlformats.org/officeDocument/2006/relationships/hyperlink" Target="mailto:info@acsmi.gr" TargetMode="External" /><Relationship Id="rId8" Type="http://schemas.openxmlformats.org/officeDocument/2006/relationships/hyperlink" Target="mailto:info@sev.org.gr" TargetMode="External" /><Relationship Id="rId9" Type="http://schemas.openxmlformats.org/officeDocument/2006/relationships/hyperlink" Target="mailto:oete@oet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