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ΛΛΔΕ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Ανεξάρτητη Αρχή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Δημοσίων Εσόδου/ΚΗΣ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ΕΠΕΙΓΟΥΣΑ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ΩΞΩ946ΜΠ3Ζ-07Υ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3.7.2020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E.2103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2-4 10672 Αθήνα 213 2122400 210 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deef.a@aade.gr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των διατάξεων του άρθρου 49 του ν.4701/2020 (Α΄ 128) αναφορικά με την παράταση προθεσμίας υποβολής της αίτησης του κατασκευαστή οικοδομών για την υπαγωγή στο καθεστώς αναστολής του φόρου.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συνημμένα τις διατάξεις του άρθρου 49 του ν.4701/2020 (Α΄ 128) "Τροποποίηση του άρθρου 6 του Κώδικα Φ.Π.Α. Παράταση προθεσμίας υποβολής της αίτησης του κατασκευαστή οικοδομών για την υπαγωγή στο καθεστώς αναστολής του φόρου". Ειδικότερα: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την παράγραφο 1 του άρθρου 49 του ως άνω νόμου αντικαθίσταται το τελευταίο εδάφιο της παρ.4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του άρθρου 6 Κώδικα ΦΠΑ (ν.2859/2000/ Α΄248).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 την παράγραφο 2 ορίζεται ότι η διάταξη της παραγράφου 1 ισχύει από τις 12 Ιουνίου 2020.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Ενόψει των ανωτέρω, η προθεσμία υποβολής της αίτησης αναστολής για άδειες εκδοθείσες μέχρι και 30.6.2020 είναι μέχρι την 31.12.2020, ενώ η προθεσμία της αίτησης αναστολής για άδειες που εκδίδονται από 1.7.2020 και εφεξής είναι έξι (6) μήνες από την έκδοση της εκάστοτε άδειας.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λοιπά, ισχύουν οι οδηγίες που έχουν δοθεί με την εγκύκλιο Ε.2006/2020 για την εφαρμογή των διατάξεων περί αναστολής του ΦΠΑ στα ακίνητα.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Συνημμένο </w:t>
      </w:r>
      <w:r>
        <w:rPr>
          <w:lang w:val="el" w:eastAsia="el"/>
        </w:rPr>
        <w:t>: ΦΕΚ Α΄ 128/30.6.2020 (28 σελίδες)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Γ΄, πλην του αριθμ.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ΔΙΕΥΘΥΝΣΗ ΣΤΡΑΤΗΓΙΚΗΣ ΤΕΧΝΟΛΟΓΙΩΝ ΠΛΗΡΟΦΟΡΙΚΗΣ (ΔΙ.Σ.ΤΕ.ΠΛ.) για ανάρτηση στην ιστοσελίδα της ΑΑΔΕ.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Γ΄, μόνο ο αριθμ.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Δ΄.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Ζ΄.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Η΄.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Θ΄ μόνο οι αριθ. 10, 17 και 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ΙΖ΄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IH΄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Γραφείο Υπουργού Οικονομικών κ. Χ. Σταικούρα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Γραφείο Υφυπουργού Οικονομικών κ. Α. Βεσυρόπουλου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Γραφείο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Διεύθυνση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Διοικητού ΑΑΔΕ.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