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Β. ΔΙΕΥΘΥΝΣΗ ΤΕΛΩΝΕΙΑΚΩΝ ΔΙΑΔΙΚΑΣΙΩΝ ΤΜΗΜΑ Δ΄</w:t>
      </w:r>
    </w:p>
    <w:p>
      <w:pPr>
        <w:pStyle w:val="PreambelText"/>
        <w:spacing w:before="240" w:after="240"/>
        <w:rPr>
          <w:lang w:val="el" w:eastAsia="el"/>
        </w:rPr>
      </w:pPr>
      <w:r>
        <w:rPr>
          <w:lang w:val="el" w:eastAsia="el"/>
        </w:rPr>
        <w:t xml:space="preserve">210 6987 424, </w:t>
      </w:r>
      <w:hyperlink r:id="rId4" w:history="1">
        <w:r>
          <w:rPr>
            <w:rStyle w:val="Hyperlink"/>
            <w:color w:val="0000EE"/>
            <w:u w:color="0000EE"/>
            <w:lang w:val="el" w:eastAsia="el"/>
          </w:rPr>
          <w:t>finexciis@aade.grr</w:t>
        </w:r>
      </w:hyperlink>
      <w:hyperlink r:id="rId5" w:history="1">
        <w:r>
          <w:rPr>
            <w:rStyle w:val="Hyperlink"/>
            <w:color w:val="0000EE"/>
            <w:u w:color="0000EE"/>
            <w:lang w:val="el" w:eastAsia="el"/>
          </w:rPr>
          <w:t>www.aade.grr</w:t>
        </w:r>
      </w:hyperlink>
    </w:p>
    <w:p>
      <w:pPr>
        <w:pStyle w:val="PreambelText"/>
        <w:spacing w:before="240" w:after="240"/>
        <w:rPr>
          <w:lang w:val="el" w:eastAsia="el"/>
        </w:rPr>
      </w:pPr>
      <w:r>
        <w:rPr>
          <w:b/>
          <w:bCs/>
          <w:u w:val="single"/>
          <w:lang w:val="el" w:eastAsia="el"/>
        </w:rPr>
        <w:t>ΘΕΜΑ: «Κοινοποίηση των διατάξεων των άρθρων 5, 63 και 65 του νόμου 4710/2020 (ΦΕΚ 142/Α΄) του Υπουργείου Περιβάλλοντος και Ενέργειας «Προώθηση της ηλεκτροκίνησης».</w:t>
      </w:r>
    </w:p>
    <w:p>
      <w:pPr>
        <w:pStyle w:val="PreambelText"/>
        <w:spacing w:before="240" w:after="240"/>
        <w:rPr>
          <w:lang w:val="el" w:eastAsia="el"/>
        </w:rPr>
      </w:pPr>
      <w:r>
        <w:rPr>
          <w:u w:val="single"/>
          <w:lang w:val="el" w:eastAsia="el"/>
        </w:rPr>
        <w:t xml:space="preserve">Κοινοποιούμε για ενημέρωση και εφαρμογή τις διατάξεις των άρθρων 5, 63 και 65 του ν.4710/2020 (ΦΕΚ 142/ Α΄) </w:t>
      </w:r>
      <w:r>
        <w:rPr>
          <w:i/>
          <w:iCs/>
          <w:u w:val="single"/>
          <w:lang w:val="el" w:eastAsia="el"/>
        </w:rPr>
        <w:t>«Προώθηση της ηλεκτροκίνησης»</w:t>
      </w:r>
      <w:r>
        <w:rPr>
          <w:u w:val="single"/>
          <w:lang w:val="el" w:eastAsia="el"/>
        </w:rPr>
        <w:t xml:space="preserve"> και σας γνωρίζουμε τα ακόλουθα:</w:t>
      </w:r>
    </w:p>
    <w:p>
      <w:pPr>
        <w:pStyle w:val="PreambelText"/>
        <w:spacing w:before="240" w:after="240"/>
        <w:rPr>
          <w:lang w:val="el" w:eastAsia="el"/>
        </w:rPr>
      </w:pPr>
      <w:r>
        <w:rPr>
          <w:u w:val="single"/>
          <w:lang w:val="el" w:eastAsia="el"/>
        </w:rPr>
        <w:t>Α. Επιβολή περιβαλλοντικού τέλους</w:t>
      </w:r>
      <w:r>
        <w:rPr>
          <w:u w:val="single"/>
          <w:lang w:val="el" w:eastAsia="el"/>
        </w:rPr>
        <w:t>.</w:t>
      </w:r>
    </w:p>
    <w:p>
      <w:pPr>
        <w:pStyle w:val="PreambelText"/>
        <w:spacing w:before="240" w:after="240"/>
        <w:rPr>
          <w:lang w:val="el" w:eastAsia="el"/>
        </w:rPr>
      </w:pPr>
      <w:r>
        <w:rPr>
          <w:u w:val="single"/>
          <w:lang w:val="el" w:eastAsia="el"/>
        </w:rPr>
        <w:t>Επιβάλλεται στα μεταχειρισμένα επιβατικά και φορτηγά αυτοκίνητα, από 23/7/2020, έκτακτο περιβαλλοντικό τέλος, το οποίο συνεισπράττεται με το τέλος ταξινόμησης, ως ακολούθως:</w:t>
      </w:r>
    </w:p>
    <w:p>
      <w:pPr>
        <w:pStyle w:val="PreambelText"/>
        <w:spacing w:before="240" w:after="240"/>
        <w:rPr>
          <w:lang w:val="el" w:eastAsia="el"/>
        </w:rPr>
      </w:pPr>
      <w:r>
        <w:rPr>
          <w:u w:val="single"/>
          <w:lang w:val="el" w:eastAsia="el"/>
        </w:rPr>
        <w:t>1. Στα επιβατικά αυτοκίνητα της παρ. 1 του άρθρου 121 του ν. 2960/2001 (Α΄ 265), ύψους: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τριών χιλιάδων ευρώ (3.000), τα οποία πληρούν εκ κατασκευής προδιαγραφές ευρωπαϊκών προτύπων εκπομπών καυσαερίων Euro 4,</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χιλίων (1.000) ευρώ, τα οποία πληρούν εκ κατασκευής τις προδιαγραφές ορίων εκπομπών EURO 5a, όπως αυτές ορίζονται στον Κανονισμό (ΕΚ) υπ’ αριθ.715/2007 της 20ής Ιουνίου 2007 και στον Κανονισμό (ΕΚ) υπ’ αριθ. 692/2008 της 18ης Ιουλίου 2008 ή μεταγενέστερων τροποποιητικών αυτών.</w:t>
      </w:r>
    </w:p>
    <w:p>
      <w:pPr>
        <w:pStyle w:val="PreambelText"/>
        <w:spacing w:before="240" w:after="240"/>
        <w:rPr>
          <w:lang w:val="el" w:eastAsia="el"/>
        </w:rPr>
      </w:pPr>
      <w:r>
        <w:rPr>
          <w:u w:val="single"/>
          <w:lang w:val="el" w:eastAsia="el"/>
        </w:rPr>
        <w:t>2. Στα φορτηγά αυτοκίνητα των περ. β’, γ’, ε΄ της παρ. 1 του άρθρου 123 του ν. 2960/2001 και τις μεταχειρισμένες βάσεις αυτών, ύψους: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τριών χιλιάδων ευρώ (3.000), τα οποία πληρούν εκ κατασκευής τις προδιαγραφές ευρωπαϊκών προτύπων εκπομπών καυσαερίων Euro 4,</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χιλίων (1.000) ευρώ, τα οποία πληρούν εκ κατασκευής τις προδιαγραφές ευρωπαϊκών προτύπων εκπομπών καυσαερίων Euro 5a, όπως αυτές ορίζονται στον Κανονισμό (ΕΚ) υπ’ αριθ. 715/2007 της 20ής Ιουνίου 2007 και στον Κανονισμό (ΕΚ) υπ’ αριθ. 692/2008 της 18ης Ιουλίου 2008.</w:t>
      </w:r>
    </w:p>
    <w:p>
      <w:pPr>
        <w:pStyle w:val="PreambelText"/>
        <w:spacing w:before="240" w:after="240"/>
        <w:rPr>
          <w:lang w:val="el" w:eastAsia="el"/>
        </w:rPr>
      </w:pPr>
      <w:r>
        <w:rPr>
          <w:u w:val="single"/>
          <w:lang w:val="el" w:eastAsia="el"/>
        </w:rPr>
        <w:t>Ως προς τον χρόνο γένεσης της υποχρέωσης καταβολής του περιβαλλοντικού τέλους, καθώς και τον χρόνο που αυτό καθίσταται απαιτητό, εφαρμογή έχουν τα προβλεπόμενα, στις διατάξεις του άρθρου 128 του ν. 2960/2001, για το τέλος ταξινόμησης.</w:t>
      </w:r>
    </w:p>
    <w:p>
      <w:pPr>
        <w:pStyle w:val="PreambelText"/>
        <w:spacing w:before="240" w:after="240"/>
        <w:rPr>
          <w:lang w:val="el" w:eastAsia="el"/>
        </w:rPr>
      </w:pPr>
      <w:r>
        <w:rPr>
          <w:u w:val="single"/>
          <w:lang w:val="el" w:eastAsia="el"/>
        </w:rPr>
        <w:t>Επιπλέον, με τις διατάξεις του τελευταίου εδαφίου της παρ. 1 του άρθρου 5 του κοινοποιούμενου νόμου, προβλέπεται η εξαίρεση από το περιβαλλοντικό τέλος, των επιβατικών αυτοκινήτων άνω των τριάντα (30) ετών, τα οποία προορίζονται να κυκλοφορήσουν αποκλειστικά ως αυτοκίνητα ιστορικού ενδιαφέροντος. Διευκρινίζεται ωστόσο, ότι για τα οχήματα ιστορικού ενδιαφέροντος ισχύουν τα προβλεπόμενα στην αρ. Αοικ.82350/3809/19 ΚΥΑ (ΦΕΚ 4948 Β/31-12-2019) και ειδικότερα, όταν τα εν λόγω οχήματα εισάγονται ή μεταφέρονται από άλλα κράτη μέλη της Ευρωπαϊκής Ένωσης και δεν έχουν ταξινομηθεί στη χώρα μας, εφαρμογή έχουν οι διατάξεις της παρ. 3 του άρθρου 2 της ως άνω Απόφασης, σύμφωνα με τις οποίες, η έκδοση της βεβαίωσης χαρακτηρισμού οχήματος ιστορικού ενδιαφέροντος, η οποία χορηγείται από τους αρμόδιους φορείς της παρ. 1 του ιδίου άρθρου της Απόφασης ή οποιουδήποτε άλλου αποδεικτικού από το οποίο προκύπτει ο χαρακτηρισμός του ως ιστορικού, προϋποθέτει την προσκόμιση του οικείου τελωνειακού παραστατικού, προκειμένου να διαπιστωθεί εάν συντρέχουν οι προϋποθέσεις για τη δασμολογική κατάταξη των οχημάτων στη Δ.Κ. 9705. Επισημαίνεται άλλωστε, ότι βάσει του Κοινού δασμολογίου της Ε.Ε. (Καν. ΕΟΚ 2658/87 του Συμβουλίου όπως τροποποιήθηκε και ισχύει και σύμφωνα με τη συμπληρωματική σημείωση του Κεφαλαίου 97, η δασμολογική κατάταξη ορισμένων οχημάτων ως (συλλεκτικά) οχήματα ιστορικού ενδιαφέροντος διενεργείται υπό συγκεκριμένες προϋποθέσεις.</w:t>
      </w:r>
    </w:p>
    <w:p>
      <w:pPr>
        <w:pStyle w:val="PreambelText"/>
        <w:spacing w:before="240" w:after="240"/>
        <w:rPr>
          <w:lang w:val="el" w:eastAsia="el"/>
        </w:rPr>
      </w:pPr>
      <w:r>
        <w:rPr>
          <w:i/>
          <w:iCs/>
          <w:u w:val="single"/>
          <w:lang w:val="el" w:eastAsia="el"/>
        </w:rPr>
        <w:t>Από την υποχρέωση καταβολής του περιβαλλοντικού τέλους εξαιρούνται</w:t>
      </w:r>
      <w:r>
        <w:rPr>
          <w:u w:val="single"/>
          <w:lang w:val="el" w:eastAsia="el"/>
        </w:rPr>
        <w:t>: α) τα οχήματα των παρ.1 και 2 του άρθρου 5, για τα οποία έχουν υποβληθεί κατά την ημερομηνία δημοσίευσης του κοινοποιούμενου νόμου, δήλωση άφιξης οχήματος (Δ.Α.Ο.) ή δηλωτικά εισαγωγής. β) τα οχήματα, για τα οποία από τις ισχύουσες διατάξεις προβλέπεται πλήρη απαλλαγή από το τέλος ταξινόμησης.</w:t>
      </w:r>
    </w:p>
    <w:p>
      <w:pPr>
        <w:pStyle w:val="PreambelText"/>
        <w:spacing w:before="240" w:after="240"/>
        <w:rPr>
          <w:lang w:val="el" w:eastAsia="el"/>
        </w:rPr>
      </w:pPr>
      <w:r>
        <w:rPr>
          <w:i/>
          <w:iCs/>
          <w:u w:val="single"/>
          <w:lang w:val="el" w:eastAsia="el"/>
        </w:rPr>
        <w:t>Μερική καταβολή περιβαλλοντικού τέλους</w:t>
      </w:r>
      <w:r>
        <w:rPr>
          <w:u w:val="single"/>
          <w:lang w:val="el" w:eastAsia="el"/>
        </w:rPr>
        <w:t>.</w:t>
      </w:r>
    </w:p>
    <w:p>
      <w:pPr>
        <w:pStyle w:val="PreambelText"/>
        <w:spacing w:before="240" w:after="240"/>
        <w:rPr>
          <w:lang w:val="el" w:eastAsia="el"/>
        </w:rPr>
      </w:pPr>
      <w:r>
        <w:rPr>
          <w:u w:val="single"/>
          <w:lang w:val="el" w:eastAsia="el"/>
        </w:rPr>
        <w:t>Σε περιπτώσεις όπου προβλέπεται μερική απαλλαγή από το τέλος ταξινόμησης, το περιβαλλοντικό τέλος καταβάλλεται, σε ποσοστό, ανάλογο με το οφειλόμενο ποσοστό του τέλους ταξινόμησης. Για παράδειγμα, για τις περιπτώσεις δικαιούχων απαλλαγής από το τέλος ταξινόμησης, βάσει των ισχυουσών διατάξεων περί αναπηρικών αυτοκινήτων, για αυτοκίνητο κυλινδρισμού κινητήρα μέχρι 1650 κ.εκ., στους οποίους παρέχεται η δυνατότητα παραλαβής επιβατικού αυτοκινήτου μεγαλύτερου κυβισμού, με καταβολή ποσοστού του αναλογούντος στο αυτοκίνητο αυτό τέλους ταξινόμησης (30% για τα πάνω από 1.650 κ.εκ. και μέχρι 2.000 κ.εβ.), θα καταβάλλεται και το αντίστοιχο ποσοστό του περιβαλλοντικού τέλους, ανάλογο με το καταβληθέν ποσοστό του τέλους ταξινόμησης, ήτοι πχ. για αυτοκίνητο όχημα Euro 4 κυβισμού 1.800 κ.εκ. (περιβαλλοντικό τέλος 3.000 ευρώ), καταβάλλεται ποσοστό 30% του τέλους ταξινόμησης σύμφωνα με τα προαναφερόμενα και αντίστοιχα, καταβάλλεται ποσοστό 30% του περιβαλλοντικού τέλους (900 ευρώ).</w:t>
      </w:r>
    </w:p>
    <w:p>
      <w:pPr>
        <w:pStyle w:val="PreambelText"/>
        <w:spacing w:before="240" w:after="240"/>
        <w:rPr>
          <w:lang w:val="el" w:eastAsia="el"/>
        </w:rPr>
      </w:pPr>
      <w:r>
        <w:rPr>
          <w:i/>
          <w:iCs/>
          <w:u w:val="single"/>
          <w:lang w:val="el" w:eastAsia="el"/>
        </w:rPr>
        <w:t>Διαδικασία είσπραξης του περιβαλλοντικού τέλους.</w:t>
      </w:r>
    </w:p>
    <w:p>
      <w:pPr>
        <w:pStyle w:val="PreambelText"/>
        <w:spacing w:before="240" w:after="240"/>
        <w:rPr>
          <w:lang w:val="el" w:eastAsia="el"/>
        </w:rPr>
      </w:pPr>
      <w:r>
        <w:rPr>
          <w:u w:val="single"/>
          <w:lang w:val="el" w:eastAsia="el"/>
        </w:rPr>
        <w:t xml:space="preserve">Για την είσπραξη του περιβαλλοντικού τέλους στις περιπτώσεις των ως άνω επιβατικών και φορτηγών οχημάτων (Euro 4 και Euro 5a), </w:t>
      </w:r>
      <w:r>
        <w:rPr>
          <w:i/>
          <w:iCs/>
          <w:u w:val="single"/>
          <w:lang w:val="el" w:eastAsia="el"/>
        </w:rPr>
        <w:t>θα ακολουθείται χειροκίνητη διαδικασία</w:t>
      </w:r>
      <w:r>
        <w:rPr>
          <w:u w:val="single"/>
          <w:lang w:val="el" w:eastAsia="el"/>
        </w:rPr>
        <w:t xml:space="preserve"> όπου, κατά την καταγραφή των αποτελεσμάτων ελέγχου, ο αρμόδιος ελεγκτής, εφόσον διαπιστώνει κατά τον έλεγχο εγγράφων (πιστοποιητικό συμμόρφωσης, έγκριση τύπου, ΔΑΟ κ.λ.π.) ότι πρόκειται για αυτοκίνητο όχημα Euro 4 ή Euro 5a για το οποίο έχει υποβληθεί δήλωση άφιξης οχήματος (Δ.Α.Ο.) ή δηλωτικό εισαγωγής, μετά την ημερομηνία δημοσίευσης του κοινοποιούμενου νόμου, θα προβαίνει στην προσθήκη μίας εγγραφής στον Αυτόματο Υπολογισμό, στην καρτέλα Υπολογισμός Φόρων, όπου θα συμπληρώνει χειροκίνητα, στο ΕΔΕ ή στη ΔΕΦΚ:</w:t>
      </w:r>
    </w:p>
    <w:p>
      <w:pPr>
        <w:pStyle w:val="PreambelText"/>
        <w:spacing w:before="240" w:after="240"/>
        <w:rPr>
          <w:lang w:val="el" w:eastAsia="el"/>
        </w:rPr>
      </w:pPr>
      <w:r>
        <w:rPr>
          <w:u w:val="single"/>
          <w:lang w:val="el" w:eastAsia="el"/>
        </w:rPr>
        <w:t xml:space="preserve">⮚ </w:t>
      </w:r>
      <w:r>
        <w:rPr>
          <w:u w:val="single"/>
          <w:lang w:val="el" w:eastAsia="el"/>
        </w:rPr>
        <w:t>τα στοιχεία</w:t>
      </w:r>
      <w:r>
        <w:rPr>
          <w:u w:val="single"/>
          <w:lang w:val="el" w:eastAsia="el"/>
        </w:rPr>
        <w:t xml:space="preserve"> [το Είδος Επιβάρυνσης: </w:t>
      </w:r>
      <w:r>
        <w:rPr>
          <w:i/>
          <w:iCs/>
          <w:u w:val="single"/>
          <w:lang w:val="el" w:eastAsia="el"/>
        </w:rPr>
        <w:t>κωδικός μηχανογράφησης, την Φορολογική Βάση Επιβάρυνσης (τιμή 0), τον Συντελεστή Επιβάρυνσης (τιμή 0)</w:t>
      </w:r>
      <w:r>
        <w:rPr>
          <w:u w:val="single"/>
          <w:lang w:val="el" w:eastAsia="el"/>
        </w:rPr>
        <w:t>] και</w:t>
      </w:r>
    </w:p>
    <w:p>
      <w:pPr>
        <w:pStyle w:val="PreambelText"/>
        <w:spacing w:before="240" w:after="240"/>
        <w:rPr>
          <w:lang w:val="el" w:eastAsia="el"/>
        </w:rPr>
      </w:pPr>
      <w:r>
        <w:rPr>
          <w:u w:val="single"/>
          <w:lang w:val="el" w:eastAsia="el"/>
        </w:rPr>
        <w:t xml:space="preserve">⮚ </w:t>
      </w:r>
      <w:r>
        <w:rPr>
          <w:u w:val="single"/>
          <w:lang w:val="el" w:eastAsia="el"/>
        </w:rPr>
        <w:t>το Ποσό του αναλογούντος Περιβαλλοντικού Τέλους</w:t>
      </w:r>
      <w:r>
        <w:rPr>
          <w:u w:val="single"/>
          <w:lang w:val="el" w:eastAsia="el"/>
        </w:rPr>
        <w:t>.</w:t>
      </w:r>
    </w:p>
    <w:p>
      <w:pPr>
        <w:pStyle w:val="PreambelText"/>
        <w:spacing w:before="240" w:after="240"/>
        <w:rPr>
          <w:lang w:val="el" w:eastAsia="el"/>
        </w:rPr>
      </w:pPr>
      <w:r>
        <w:rPr>
          <w:u w:val="single"/>
          <w:lang w:val="el" w:eastAsia="el"/>
        </w:rPr>
        <w:t>Πιο συγκεκριμένα, στο κατά περίπτωση σχετικό παραστατικό, ΕΔΕ ή ΔΕΦΚ, θα συμπληρώνει:</w:t>
      </w:r>
    </w:p>
    <w:p>
      <w:pPr>
        <w:pStyle w:val="PreambelText"/>
        <w:spacing w:before="240" w:after="240"/>
        <w:rPr>
          <w:lang w:val="el" w:eastAsia="el"/>
        </w:rPr>
      </w:pPr>
      <w:r>
        <w:rPr>
          <w:i/>
          <w:iCs/>
          <w:u w:val="single"/>
          <w:lang w:val="el" w:eastAsia="el"/>
        </w:rPr>
        <w:t>✔</w:t>
      </w:r>
      <w:r>
        <w:rPr>
          <w:u w:val="single"/>
          <w:lang w:val="el" w:eastAsia="el"/>
        </w:rPr>
        <w:t xml:space="preserve"> τους κατωτέρω κωδικούς μηχανογράφησης καθώς και το αντίστοιχο ποσό </w:t>
      </w:r>
      <w:r>
        <w:rPr>
          <w:i/>
          <w:iCs/>
          <w:u w:val="single"/>
          <w:lang w:val="el" w:eastAsia="el"/>
        </w:rPr>
        <w:t>του βεβαιωθέντος και οφειλόμενου περιβαλλοντικού τέλους,</w:t>
      </w:r>
    </w:p>
    <w:p>
      <w:pPr>
        <w:pStyle w:val="PreambelText"/>
        <w:spacing w:before="240" w:after="240"/>
        <w:rPr>
          <w:lang w:val="el" w:eastAsia="el"/>
        </w:rPr>
      </w:pPr>
      <w:r>
        <w:rPr>
          <w:u w:val="single"/>
          <w:lang w:val="el" w:eastAsia="el"/>
        </w:rPr>
        <w:t>✔ ενώ, σε περίπτωση ολικής ή μερικής απαλλαγής από το περιβαλλοντικό τέλος θα συμπληρώνει</w:t>
      </w:r>
    </w:p>
    <w:p>
      <w:pPr>
        <w:pStyle w:val="PreambelText"/>
        <w:spacing w:before="240" w:after="240"/>
        <w:rPr>
          <w:lang w:val="el" w:eastAsia="el"/>
        </w:rPr>
      </w:pPr>
      <w:r>
        <w:rPr>
          <w:u w:val="single"/>
          <w:lang w:val="el" w:eastAsia="el"/>
        </w:rPr>
        <w:t xml:space="preserve">στους κατωτέρω σχετικούς κωδικούς μηχανογράφησης (κωδ. μηχανογράφησης 661 ή 663 ή 665 ή 667) για τη χορηγούμενη ολική ή μερική απαλλαγή από αυτό, </w:t>
      </w:r>
      <w:r>
        <w:rPr>
          <w:i/>
          <w:iCs/>
          <w:u w:val="single"/>
          <w:lang w:val="el" w:eastAsia="el"/>
        </w:rPr>
        <w:t>το υπολογισθέν και μη οφειλόμενο (μη βεβαιωθέν) ποσό του εν λόγω τέλους (ατελώς).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
        <w:gridCol w:w="1585"/>
        <w:gridCol w:w="1942"/>
        <w:gridCol w:w="2614"/>
        <w:gridCol w:w="25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ΜΗΧΑΝ/ΣΗ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ΟΦΕΙΛΟΜΕΝΟΥ ΠΕΡΙΒΑΛΛΟΝΤΙΚΟΥ ΤΕΛΟΥΣ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 ΠΡΟΫΠΟΛΟΓΙΣΜΟΥ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Περιβαλλοντικό τέλος τρείς χιλιάδες ευρώ (3.000) για οχήματα Euro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Περιβαλλοντικό τέλος για οχήματα Euro 4 </w:t>
            </w:r>
            <w:r>
              <w:rPr>
                <w:b w:val="0"/>
                <w:bCs w:val="0"/>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3.000€ </w:t>
            </w:r>
            <w:r>
              <w:rPr>
                <w:b w:val="0"/>
                <w:bCs w:val="0"/>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Περιβαλλοντικό τέλος χίλια ευρώ (1.000) για οχήματα Εuro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Περιβαλλοντικό τέλος για οχήματα Εuro 5a </w:t>
            </w:r>
            <w:r>
              <w:rPr>
                <w:b w:val="0"/>
                <w:bCs w:val="0"/>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w:t>
            </w:r>
            <w:r>
              <w:rPr>
                <w:b w:val="0"/>
                <w:bCs w:val="0"/>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Περιβαλλοντικό τέλος για οχήματα Euro 4/ μερική απαλλαγή (</w:t>
            </w:r>
            <w:r>
              <w:rPr>
                <w:b w:val="0"/>
                <w:bCs w:val="0"/>
                <w:i/>
                <w:iCs/>
                <w:smallCaps w:val="0"/>
                <w:color w:val="000000"/>
                <w:lang w:val="el" w:eastAsia="el"/>
              </w:rPr>
              <w:t>οφειλόμενο και καταβαλλόμενο ποσό</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val="0"/>
                <w:bCs w:val="0"/>
                <w:i/>
                <w:iCs/>
                <w:smallCaps w:val="0"/>
                <w:color w:val="000000"/>
                <w:lang w:val="el" w:eastAsia="el"/>
              </w:rPr>
              <w:t>και οφείλεται.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Περιβαλλοντικό τέλος για οχήματα Euro 4/ μερική απαλλαγή (ατελώς)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val="0"/>
                <w:bCs w:val="0"/>
                <w:i/>
                <w:iCs/>
                <w:smallCaps w:val="0"/>
                <w:color w:val="000000"/>
                <w:lang w:val="el" w:eastAsia="el"/>
              </w:rPr>
              <w:t>το οποίο δεν βεβαιώνεται και δεν οφείλεται [ποσό για το οποίο χορηγείται μερική απαλλαγή 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Περιβαλλοντικό τέλος για οχήματα Euro 5a / μερική απαλλαγή </w:t>
            </w:r>
            <w:r>
              <w:rPr>
                <w:b w:val="0"/>
                <w:bCs w:val="0"/>
                <w:i/>
                <w:iCs/>
                <w:smallCaps w:val="0"/>
                <w:color w:val="000000"/>
                <w:lang w:val="el" w:eastAsia="el"/>
              </w:rPr>
              <w:t>(οφειλόμενο και καταβαλλόμενο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val="0"/>
                <w:bCs w:val="0"/>
                <w:i/>
                <w:iCs/>
                <w:smallCaps w:val="0"/>
                <w:color w:val="000000"/>
                <w:lang w:val="el" w:eastAsia="el"/>
              </w:rPr>
              <w:t>και οφείλεται.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Περιβαλλοντικό τέλος για οχήματα Euro 5a / μερική απαλλαγή </w:t>
            </w:r>
            <w:r>
              <w:rPr>
                <w:b w:val="0"/>
                <w:bCs w:val="0"/>
                <w:i/>
                <w:iCs/>
                <w:smallCaps w:val="0"/>
                <w:color w:val="000000"/>
                <w:lang w:val="el" w:eastAsia="el"/>
              </w:rPr>
              <w:t>(ατελώς)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ποσό που αναλογεί βάσει του αντίστοιχου ποσοστού του οφειλόμενου τέλους ταξινόμησης </w:t>
            </w:r>
            <w:r>
              <w:rPr>
                <w:b w:val="0"/>
                <w:bCs w:val="0"/>
                <w:i/>
                <w:iCs/>
                <w:smallCaps w:val="0"/>
                <w:color w:val="000000"/>
                <w:lang w:val="el" w:eastAsia="el"/>
              </w:rPr>
              <w:t>το οποίο δεν βεβαιώνεται και δεν οφείλεται [ποσό για το οποίο χορηγείται μερική απαλλαγή (ατελώς)].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1110610001</w:t>
            </w:r>
          </w:p>
          <w:p>
            <w:pPr>
              <w:spacing w:before="240"/>
              <w:rPr>
                <w:b w:val="0"/>
                <w:bCs w:val="0"/>
                <w:i w:val="0"/>
                <w:iCs w:val="0"/>
                <w:smallCaps w:val="0"/>
                <w:color w:val="000000"/>
                <w:lang w:val="el" w:eastAsia="el"/>
              </w:rPr>
            </w:pPr>
            <w:r>
              <w:rPr>
                <w:b w:val="0"/>
                <w:bCs w:val="0"/>
                <w:i w:val="0"/>
                <w:iCs w:val="0"/>
                <w:smallCaps w:val="0"/>
                <w:color w:val="000000"/>
                <w:lang w:val="el" w:eastAsia="el"/>
              </w:rPr>
              <w:t>(Έκτακτο περιβαλλοντικό τέλος οχημάτων)</w:t>
            </w:r>
          </w:p>
        </w:tc>
      </w:tr>
    </w:tbl>
    <w:p>
      <w:pPr>
        <w:pStyle w:val="PreambelText"/>
        <w:spacing w:before="240" w:after="240"/>
        <w:rPr>
          <w:lang w:val="el" w:eastAsia="el"/>
        </w:rPr>
      </w:pPr>
      <w:r>
        <w:rPr>
          <w:u w:val="single"/>
          <w:lang w:val="el" w:eastAsia="el"/>
        </w:rPr>
        <w:t>Β. Απαγόρευση ταξινόμησης</w:t>
      </w:r>
      <w:r>
        <w:rPr>
          <w:u w:val="single"/>
          <w:lang w:val="el" w:eastAsia="el"/>
        </w:rPr>
        <w:t>.</w:t>
      </w:r>
    </w:p>
    <w:p>
      <w:pPr>
        <w:pStyle w:val="PreambelText"/>
        <w:spacing w:before="240" w:after="240"/>
        <w:rPr>
          <w:lang w:val="el" w:eastAsia="el"/>
        </w:rPr>
      </w:pPr>
      <w:r>
        <w:rPr>
          <w:u w:val="single"/>
          <w:lang w:val="el" w:eastAsia="el"/>
        </w:rPr>
        <w:t>Σύμφωνα με τις διατάξεις του άρθρου 5 του κοινοποιούμενου νόμου, απαγορεύεται η ταξινόμηση, των ως άνω επιβατικών και φορτηγών αυτοκινήτων, εφόσον υπάγονται εκ κατασκευής στις προδιαγραφές ευρωπαϊκών προτύπων εκπομπών καυσαερίων Euro 3, 2 και 1, καθώς και αυτών που δεν υπάγονται σε προδιαγραφές ευρωπαϊκού προτύπου εκπομπών ρύπων (Euro), συμβατικής τεχνολογίας και για τα οποία δεν αποδεικνύονται οι εκπομπές διοξειδίου του άνθρακα. Συνεπώς, για τα οχήματα αυτά, δεν τυγχάνουν εφαρμογής οι διατάξεις του Εθνικού Τελωνειακού Κώδικα περί καταβολής του τέλους ταξινόμησης πριν την θέση των οχημάτων σε κυκλοφορία στη χώρα.</w:t>
      </w:r>
    </w:p>
    <w:p>
      <w:pPr>
        <w:pStyle w:val="PreambelText"/>
        <w:spacing w:before="240" w:after="240"/>
        <w:rPr>
          <w:lang w:val="el" w:eastAsia="el"/>
        </w:rPr>
      </w:pPr>
      <w:r>
        <w:rPr>
          <w:u w:val="single"/>
          <w:lang w:val="el" w:eastAsia="el"/>
        </w:rPr>
        <w:t>Κατόπιν των ανωτέρω, εφιστούμε την προσοχή στις τελωνειακές αρχές, για την ορθή εφαρμογή των διατάξεων του άρθρου 5 του κοινοποιούμενου νόμου και ειδικότερα, στα πλαίσια των ελέγχων τόσο κατά τη βεβαίωση και είσπραξη του τέλους ταξινόμησης, όσο και των εκ των υστέρων ελέγχων, όπως διασφαλίσουν την ορθή είσπραξη του οφειλόμενου περιβαλλοντικού τέλους.</w:t>
      </w:r>
    </w:p>
    <w:p>
      <w:pPr>
        <w:pStyle w:val="enacting"/>
        <w:spacing w:before="120" w:after="0"/>
        <w:rPr>
          <w:lang w:val="el" w:eastAsia="el"/>
        </w:rPr>
      </w:pPr>
      <w:r>
        <w:rPr>
          <w:b/>
          <w:bCs/>
          <w:u w:val="single"/>
          <w:lang w:val="el" w:eastAsia="el"/>
        </w:rPr>
        <w:t>Ο ΔΙΟΙΚΗΤΗΣΑΑΔΕ</w:t>
      </w:r>
    </w:p>
    <w:p>
      <w:pPr>
        <w:pStyle w:val="PreambelText"/>
        <w:spacing w:before="240" w:after="240"/>
        <w:rPr>
          <w:lang w:val="el" w:eastAsia="el"/>
        </w:rPr>
      </w:pPr>
      <w:r>
        <w:rPr>
          <w:b/>
          <w:bCs/>
          <w:u w:val="single"/>
          <w:lang w:val="el" w:eastAsia="el"/>
        </w:rPr>
        <w:t>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 Αποδέκτες για ενέργεια</w:t>
      </w:r>
    </w:p>
    <w:p>
      <w:pPr>
        <w:pStyle w:val="PreambelText"/>
        <w:spacing w:before="240" w:after="240"/>
        <w:rPr>
          <w:lang w:val="el" w:eastAsia="el"/>
        </w:rPr>
      </w:pPr>
      <w:r>
        <w:rPr>
          <w:u w:val="single"/>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u w:val="single"/>
          <w:lang w:val="el" w:eastAsia="el"/>
        </w:rPr>
        <w:t>2. Τελωνεία Α’, Β’ και Γ’ Τάξης</w:t>
      </w:r>
    </w:p>
    <w:p>
      <w:pPr>
        <w:pStyle w:val="PreambelText"/>
        <w:spacing w:before="240" w:after="240"/>
        <w:rPr>
          <w:lang w:val="el" w:eastAsia="el"/>
        </w:rPr>
      </w:pPr>
      <w:r>
        <w:rPr>
          <w:u w:val="single"/>
          <w:lang w:val="el" w:eastAsia="el"/>
        </w:rPr>
        <w:t>3. Διεύθυνση Δασμολογικών Θεμάτων &amp; Ειδικών Καθεστώτων Απαλλαγών</w:t>
      </w:r>
    </w:p>
    <w:p>
      <w:pPr>
        <w:pStyle w:val="PreambelText"/>
        <w:spacing w:before="240" w:after="240"/>
        <w:rPr>
          <w:lang w:val="el" w:eastAsia="el"/>
        </w:rPr>
      </w:pPr>
      <w:r>
        <w:rPr>
          <w:u w:val="single"/>
          <w:lang w:val="el" w:eastAsia="el"/>
        </w:rPr>
        <w:t>4. Διεύθυνση Επιχειρησιακών Διαδικασιών</w:t>
      </w:r>
    </w:p>
    <w:p>
      <w:pPr>
        <w:pStyle w:val="PreambelText"/>
        <w:spacing w:before="240" w:after="240"/>
        <w:rPr>
          <w:lang w:val="el" w:eastAsia="el"/>
        </w:rPr>
      </w:pPr>
      <w:r>
        <w:rPr>
          <w:u w:val="single"/>
          <w:lang w:val="el" w:eastAsia="el"/>
        </w:rPr>
        <w:t>Υποδ/νση Β΄ Απαιτήσεων &amp; Ελέγχου Εφαρμογών Τελωνείων Τμήμα Ε΄(για ανάρτηση στο Portal του ICISnet (E-mail:</w:t>
      </w:r>
      <w:hyperlink r:id="rId6" w:history="1">
        <w:r>
          <w:rPr>
            <w:rStyle w:val="Hyperlink"/>
            <w:color w:val="0000EE"/>
            <w:u w:color="0000EE"/>
            <w:lang w:val="el" w:eastAsia="el"/>
          </w:rPr>
          <w:t>p . bampali@ aade .gr</w:t>
        </w:r>
      </w:hyperlink>
      <w:r>
        <w:rPr>
          <w:u w:val="single"/>
          <w:lang w:val="el" w:eastAsia="el"/>
        </w:rPr>
        <w:t>)</w:t>
      </w:r>
    </w:p>
    <w:p>
      <w:pPr>
        <w:pStyle w:val="PreambelText"/>
        <w:spacing w:before="240" w:after="240"/>
        <w:rPr>
          <w:lang w:val="el" w:eastAsia="el"/>
        </w:rPr>
      </w:pPr>
      <w:r>
        <w:rPr>
          <w:u w:val="single"/>
          <w:lang w:val="el" w:eastAsia="el"/>
        </w:rPr>
        <w:t>5. Δ/νση υποστήριξης ηλεκτρονικών υπηρεσιών(για ενημέρωση της «Ηλεκτρονικής Βιβλιοθήκης»)</w:t>
      </w:r>
    </w:p>
    <w:p>
      <w:pPr>
        <w:pStyle w:val="PreambelText"/>
        <w:spacing w:before="240" w:after="240"/>
        <w:rPr>
          <w:lang w:val="el" w:eastAsia="el"/>
        </w:rPr>
      </w:pPr>
      <w:r>
        <w:rPr>
          <w:b/>
          <w:bCs/>
          <w:u w:val="single"/>
          <w:lang w:val="el" w:eastAsia="el"/>
        </w:rPr>
        <w:t>Β. Αποδέκτες για κοινοποίηση</w:t>
      </w:r>
    </w:p>
    <w:p>
      <w:pPr>
        <w:pStyle w:val="PreambelText"/>
        <w:spacing w:before="240" w:after="240"/>
        <w:rPr>
          <w:lang w:val="el" w:eastAsia="el"/>
        </w:rPr>
      </w:pPr>
      <w:r>
        <w:rPr>
          <w:u w:val="single"/>
          <w:lang w:val="el" w:eastAsia="el"/>
        </w:rPr>
        <w:t>1. Γρ. Υπουργού Οικονομικών</w:t>
      </w:r>
    </w:p>
    <w:p>
      <w:pPr>
        <w:pStyle w:val="PreambelText"/>
        <w:spacing w:before="240" w:after="240"/>
        <w:rPr>
          <w:lang w:val="el" w:eastAsia="el"/>
        </w:rPr>
      </w:pPr>
      <w:r>
        <w:rPr>
          <w:u w:val="single"/>
          <w:lang w:val="el" w:eastAsia="el"/>
        </w:rPr>
        <w:t>2. Γρ. Υφυπουργού Οικονομικών</w:t>
      </w:r>
    </w:p>
    <w:p>
      <w:pPr>
        <w:pStyle w:val="PreambelText"/>
        <w:spacing w:before="240" w:after="240"/>
        <w:rPr>
          <w:lang w:val="el" w:eastAsia="el"/>
        </w:rPr>
      </w:pPr>
      <w:r>
        <w:rPr>
          <w:u w:val="single"/>
          <w:lang w:val="el" w:eastAsia="el"/>
        </w:rPr>
        <w:t>3. Υπουργείο Περιβάλλοντος και Ενέργειας</w:t>
      </w:r>
    </w:p>
    <w:p>
      <w:pPr>
        <w:pStyle w:val="PreambelText"/>
        <w:spacing w:before="240" w:after="240"/>
        <w:rPr>
          <w:lang w:val="el" w:eastAsia="el"/>
        </w:rPr>
      </w:pPr>
      <w:r>
        <w:rPr>
          <w:u w:val="single"/>
          <w:lang w:val="el" w:eastAsia="el"/>
        </w:rPr>
        <w:t>Γενική Γραμματεία Ενέργειας και Ορυκτών Πρώτων Υλών</w:t>
      </w:r>
    </w:p>
    <w:p>
      <w:pPr>
        <w:pStyle w:val="PreambelText"/>
        <w:spacing w:before="240" w:after="240"/>
        <w:rPr>
          <w:lang w:val="el" w:eastAsia="el"/>
        </w:rPr>
      </w:pPr>
      <w:r>
        <w:rPr>
          <w:u w:val="single"/>
          <w:lang w:val="el" w:eastAsia="el"/>
        </w:rPr>
        <w:t>4. Λοιποί Αποδέκτες Πίνακα Γ’</w:t>
      </w:r>
    </w:p>
    <w:p>
      <w:pPr>
        <w:pStyle w:val="PreambelText"/>
        <w:spacing w:before="240" w:after="240"/>
        <w:rPr>
          <w:lang w:val="el" w:eastAsia="el"/>
        </w:rPr>
      </w:pPr>
      <w:r>
        <w:rPr>
          <w:u w:val="single"/>
          <w:lang w:val="el" w:eastAsia="el"/>
        </w:rPr>
        <w:t>5. Υπηρεσία Ερευνών και Διασφάλισης Δημοσίων Εσόδων (Υ.Ε.Δ.Δ.Ε.)</w:t>
      </w:r>
    </w:p>
    <w:p>
      <w:pPr>
        <w:pStyle w:val="PreambelText"/>
        <w:spacing w:before="240" w:after="240"/>
        <w:rPr>
          <w:lang w:val="el" w:eastAsia="el"/>
        </w:rPr>
      </w:pPr>
      <w:r>
        <w:rPr>
          <w:u w:val="single"/>
          <w:lang w:val="el" w:eastAsia="el"/>
        </w:rPr>
        <w:t>6. Δ/νση Εσωτερικού Ελέγχου</w:t>
      </w:r>
    </w:p>
    <w:p>
      <w:pPr>
        <w:pStyle w:val="PreambelText"/>
        <w:spacing w:before="240" w:after="240"/>
        <w:rPr>
          <w:lang w:val="el" w:eastAsia="el"/>
        </w:rPr>
      </w:pPr>
      <w:r>
        <w:rPr>
          <w:u w:val="single"/>
          <w:lang w:val="el" w:eastAsia="el"/>
        </w:rPr>
        <w:t>7. Ελεγκτική Υπηρεσία Τελωνείων (ΕΛ.Υ.Τ.) Αττικής</w:t>
      </w:r>
    </w:p>
    <w:p>
      <w:pPr>
        <w:pStyle w:val="PreambelText"/>
        <w:spacing w:before="240" w:after="240"/>
        <w:rPr>
          <w:lang w:val="el" w:eastAsia="el"/>
        </w:rPr>
      </w:pPr>
      <w:r>
        <w:rPr>
          <w:u w:val="single"/>
          <w:lang w:val="el" w:eastAsia="el"/>
        </w:rPr>
        <w:t>8. Ελεγκτική Υπηρεσία Τελωνείων (ΕΛ.Υ.Τ.) Θεσσαλονίκης</w:t>
      </w:r>
    </w:p>
    <w:p>
      <w:pPr>
        <w:pStyle w:val="PreambelText"/>
        <w:spacing w:before="240" w:after="240"/>
        <w:rPr>
          <w:lang w:val="el" w:eastAsia="el"/>
        </w:rPr>
      </w:pPr>
      <w:r>
        <w:rPr>
          <w:u w:val="single"/>
          <w:lang w:val="el" w:eastAsia="el"/>
        </w:rPr>
        <w:t>9.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Οργάνωσης- Τμήμα Β'</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Ηλεκτρονικής Διακυβέρνησης</w:t>
      </w:r>
    </w:p>
    <w:p>
      <w:pPr>
        <w:pStyle w:val="PreambelText"/>
        <w:spacing w:before="240" w:after="240"/>
        <w:rPr>
          <w:lang w:val="el" w:eastAsia="el"/>
        </w:rPr>
      </w:pPr>
      <w:r>
        <w:rPr>
          <w:u w:val="single"/>
          <w:lang w:val="el" w:eastAsia="el"/>
        </w:rPr>
        <w:t>10. Δ/νση Νομικής Υποστήριξης Α.Α.Δ.Ε.</w:t>
      </w:r>
    </w:p>
    <w:p>
      <w:pPr>
        <w:pStyle w:val="PreambelText"/>
        <w:spacing w:before="240" w:after="240"/>
        <w:rPr>
          <w:lang w:val="el" w:eastAsia="el"/>
        </w:rPr>
      </w:pPr>
      <w:r>
        <w:rPr>
          <w:u w:val="single"/>
          <w:lang w:val="el" w:eastAsia="el"/>
        </w:rPr>
        <w:t>11. Αυτοτελές Τμήμα Συντονισμού Μεταρρυθμιστικών Δράσεων και Επικοινωνίας</w:t>
      </w:r>
    </w:p>
    <w:p>
      <w:pPr>
        <w:pStyle w:val="PreambelText"/>
        <w:spacing w:before="240" w:after="240"/>
        <w:rPr>
          <w:lang w:val="el" w:eastAsia="el"/>
        </w:rPr>
      </w:pPr>
      <w:r>
        <w:rPr>
          <w:u w:val="single"/>
          <w:lang w:val="el" w:eastAsia="el"/>
        </w:rPr>
        <w:t>12. Δ/νση Εφαρμογής Έμμεσης Φορολογίας</w:t>
      </w:r>
    </w:p>
    <w:p>
      <w:pPr>
        <w:pStyle w:val="Heading1"/>
        <w:spacing w:before="240" w:after="240"/>
        <w:rPr>
          <w:lang w:val="el" w:eastAsia="el"/>
        </w:rPr>
      </w:pPr>
      <w:r>
        <w:rPr>
          <w:u w:val="single"/>
          <w:lang w:val="el" w:eastAsia="el"/>
        </w:rPr>
        <w:t xml:space="preserve">Τμήμα Β’ </w:t>
      </w:r>
    </w:p>
    <w:p>
      <w:pPr>
        <w:pStyle w:val="Heading1"/>
        <w:spacing w:before="240" w:after="240"/>
        <w:rPr>
          <w:lang w:val="el" w:eastAsia="el"/>
        </w:rPr>
      </w:pPr>
      <w:r>
        <w:rPr>
          <w:u w:val="single"/>
          <w:lang w:val="el" w:eastAsia="el"/>
        </w:rPr>
        <w:t>Τελών και Ειδικών Φορολογιών</w:t>
      </w:r>
    </w:p>
    <w:p>
      <w:pPr>
        <w:spacing w:before="240" w:after="240"/>
        <w:rPr>
          <w:lang w:val="el" w:eastAsia="el"/>
        </w:rPr>
      </w:pPr>
      <w:r>
        <w:rPr>
          <w:u w:val="single"/>
          <w:lang w:val="el" w:eastAsia="el"/>
        </w:rPr>
        <w:t>13. Υπουργείο Υποδομών και Μεταφορών</w:t>
      </w:r>
    </w:p>
    <w:p>
      <w:pPr>
        <w:spacing w:before="240" w:after="240"/>
        <w:rPr>
          <w:lang w:val="el" w:eastAsia="el"/>
        </w:rPr>
      </w:pPr>
      <w:r>
        <w:rPr>
          <w:u w:val="single"/>
          <w:lang w:val="el" w:eastAsia="el"/>
        </w:rPr>
        <w:t>α)Γενική Δ/νση Μεταφορών</w:t>
      </w:r>
    </w:p>
    <w:p>
      <w:pPr>
        <w:spacing w:before="240" w:after="240"/>
        <w:rPr>
          <w:lang w:val="el" w:eastAsia="el"/>
        </w:rPr>
      </w:pPr>
      <w:r>
        <w:rPr>
          <w:u w:val="single"/>
          <w:lang w:val="el" w:eastAsia="el"/>
        </w:rPr>
        <w:t>• Δ/νση Επιβατικών Μεταφορών (Δ32)</w:t>
      </w:r>
    </w:p>
    <w:p>
      <w:pPr>
        <w:spacing w:before="240" w:after="240"/>
        <w:rPr>
          <w:lang w:val="el" w:eastAsia="el"/>
        </w:rPr>
      </w:pPr>
      <w:r>
        <w:rPr>
          <w:u w:val="single"/>
          <w:lang w:val="el" w:eastAsia="el"/>
        </w:rPr>
        <w:t>Αναστάσεως 2 &amp;Τσιγάντε, 101 91 Παπάγου</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Γενική Δ/νση Διοικητικών Υπηρεσιών</w:t>
      </w:r>
    </w:p>
    <w:p>
      <w:pPr>
        <w:spacing w:before="240" w:after="240"/>
        <w:rPr>
          <w:lang w:val="el" w:eastAsia="el"/>
        </w:rPr>
      </w:pPr>
      <w:r>
        <w:rPr>
          <w:u w:val="single"/>
          <w:lang w:val="el" w:eastAsia="el"/>
        </w:rPr>
        <w:t>• Δ/νση Διοικητικής Οργάνωσης (Δ6)</w:t>
      </w:r>
    </w:p>
    <w:p>
      <w:pPr>
        <w:spacing w:before="240" w:after="240"/>
        <w:rPr>
          <w:lang w:val="el" w:eastAsia="el"/>
        </w:rPr>
      </w:pPr>
      <w:r>
        <w:rPr>
          <w:u w:val="single"/>
          <w:lang w:val="el" w:eastAsia="el"/>
        </w:rPr>
        <w:t>Χαριλάου Τρικούπη 182, 10178</w:t>
      </w:r>
    </w:p>
    <w:p>
      <w:pPr>
        <w:spacing w:before="240" w:after="240"/>
        <w:rPr>
          <w:lang w:val="el" w:eastAsia="el"/>
        </w:rPr>
      </w:pPr>
      <w:r>
        <w:rPr>
          <w:u w:val="single"/>
          <w:lang w:val="el" w:eastAsia="el"/>
        </w:rPr>
        <w:t>14. Ομοσπονδία Εκτελωνιστών Ελλάδας</w:t>
      </w:r>
    </w:p>
    <w:p>
      <w:pPr>
        <w:spacing w:before="240" w:after="240"/>
        <w:rPr>
          <w:lang w:val="el" w:eastAsia="el"/>
        </w:rPr>
      </w:pPr>
      <w:r>
        <w:rPr>
          <w:u w:val="single"/>
          <w:lang w:val="el" w:eastAsia="el"/>
        </w:rPr>
        <w:t>Τσαμαδού 38 — Τ.Κ. 18531, Πειραιάς</w:t>
      </w:r>
    </w:p>
    <w:p>
      <w:pPr>
        <w:spacing w:before="240" w:after="240"/>
        <w:rPr>
          <w:lang w:val="el" w:eastAsia="el"/>
        </w:rPr>
      </w:pPr>
      <w:r>
        <w:rPr>
          <w:u w:val="single"/>
          <w:lang w:val="el" w:eastAsia="el"/>
        </w:rPr>
        <w:t>15. Σύλλογος Εκτελωνιστών, Αθήνας – Πειραιά</w:t>
      </w:r>
    </w:p>
    <w:p>
      <w:pPr>
        <w:spacing w:before="240" w:after="240"/>
        <w:rPr>
          <w:lang w:val="el" w:eastAsia="el"/>
        </w:rPr>
      </w:pPr>
      <w:r>
        <w:rPr>
          <w:u w:val="single"/>
          <w:lang w:val="el" w:eastAsia="el"/>
        </w:rPr>
        <w:t>Τσαμαδού 38 — Τ. Κ. 18531, Πειραιάς</w:t>
      </w:r>
    </w:p>
    <w:p>
      <w:pPr>
        <w:spacing w:before="240" w:after="240"/>
        <w:rPr>
          <w:lang w:val="el" w:eastAsia="el"/>
        </w:rPr>
      </w:pPr>
      <w:r>
        <w:rPr>
          <w:u w:val="single"/>
          <w:lang w:val="el" w:eastAsia="el"/>
        </w:rPr>
        <w:t>16. Σύλλογος Εκτελωνιστών Θεσσαλονίκης</w:t>
      </w:r>
    </w:p>
    <w:p>
      <w:pPr>
        <w:spacing w:before="240" w:after="240"/>
        <w:rPr>
          <w:lang w:val="el" w:eastAsia="el"/>
        </w:rPr>
      </w:pPr>
      <w:r>
        <w:rPr>
          <w:u w:val="single"/>
          <w:lang w:val="el" w:eastAsia="el"/>
        </w:rPr>
        <w:t>Κουντουριώτου 13 - Τ.Κ. 54626, Θεσσαλονίκη</w:t>
      </w:r>
    </w:p>
    <w:p>
      <w:pPr>
        <w:spacing w:before="240" w:after="240"/>
        <w:rPr>
          <w:lang w:val="el" w:eastAsia="el"/>
        </w:rPr>
      </w:pPr>
      <w:r>
        <w:rPr>
          <w:u w:val="single"/>
          <w:lang w:val="el" w:eastAsia="el"/>
        </w:rPr>
        <w:t>17. Γενική Γραμματεία Εθνικής Στατιστικής Υπηρεσίας</w:t>
      </w:r>
    </w:p>
    <w:p>
      <w:pPr>
        <w:spacing w:before="240" w:after="240"/>
        <w:rPr>
          <w:lang w:val="el" w:eastAsia="el"/>
        </w:rPr>
      </w:pPr>
      <w:r>
        <w:rPr>
          <w:u w:val="single"/>
          <w:lang w:val="el" w:eastAsia="el"/>
        </w:rPr>
        <w:t>Δ/νση Οικονομικών και Βραχυπρόθεσμων Δεικτών</w:t>
      </w:r>
    </w:p>
    <w:p>
      <w:pPr>
        <w:spacing w:before="240" w:after="240"/>
        <w:rPr>
          <w:lang w:val="el" w:eastAsia="el"/>
        </w:rPr>
      </w:pPr>
      <w:r>
        <w:rPr>
          <w:u w:val="single"/>
          <w:lang w:val="el" w:eastAsia="el"/>
        </w:rPr>
        <w:t>Πειραιώς 46 &amp;Επονιτών –Τ.Κ. 18510 Πειραιάς</w:t>
      </w:r>
    </w:p>
    <w:p>
      <w:pPr>
        <w:spacing w:before="240" w:after="240"/>
        <w:rPr>
          <w:lang w:val="el" w:eastAsia="el"/>
        </w:rPr>
      </w:pPr>
      <w:r>
        <w:rPr>
          <w:u w:val="single"/>
          <w:lang w:val="el" w:eastAsia="el"/>
        </w:rPr>
        <w:t>18. Σύνδεσμος Εισαγωγέων – Εμπόρων Μεταχειρισμένων Αυτοκινήτων – Μηχανημάτων</w:t>
      </w:r>
    </w:p>
    <w:p>
      <w:pPr>
        <w:spacing w:before="240" w:after="240"/>
        <w:rPr>
          <w:lang w:val="el" w:eastAsia="el"/>
        </w:rPr>
      </w:pPr>
      <w:r>
        <w:rPr>
          <w:u w:val="single"/>
          <w:lang w:val="el" w:eastAsia="el"/>
        </w:rPr>
        <w:t>&amp; Ανταλλακτικών</w:t>
      </w:r>
    </w:p>
    <w:p>
      <w:pPr>
        <w:spacing w:before="240" w:after="240"/>
        <w:rPr>
          <w:lang w:val="el" w:eastAsia="el"/>
        </w:rPr>
      </w:pPr>
      <w:r>
        <w:rPr>
          <w:u w:val="single"/>
          <w:lang w:val="el" w:eastAsia="el"/>
        </w:rPr>
        <w:t>Βάκχου 5, 546 29 Θεσσαλονίκη</w:t>
      </w:r>
    </w:p>
    <w:p>
      <w:pPr>
        <w:spacing w:before="240" w:after="240"/>
        <w:rPr>
          <w:lang w:val="el" w:eastAsia="el"/>
        </w:rPr>
      </w:pPr>
      <w:r>
        <w:rPr>
          <w:u w:val="single"/>
          <w:lang w:val="el" w:eastAsia="el"/>
        </w:rPr>
        <w:t>19. Σύνδεσμος Εισαγωγέων – Αντιπροσώπων Αυτοκινήτων</w:t>
      </w:r>
    </w:p>
    <w:p>
      <w:pPr>
        <w:spacing w:before="240" w:after="240"/>
        <w:rPr>
          <w:lang w:val="el" w:eastAsia="el"/>
        </w:rPr>
      </w:pPr>
      <w:r>
        <w:rPr>
          <w:u w:val="single"/>
          <w:lang w:val="el" w:eastAsia="el"/>
        </w:rPr>
        <w:t>Λεωφ. Κηφισίας 296, 152 32 Χαλάνδρι</w:t>
      </w:r>
    </w:p>
    <w:p>
      <w:pPr>
        <w:spacing w:before="240" w:after="240"/>
        <w:rPr>
          <w:lang w:val="el" w:eastAsia="el"/>
        </w:rPr>
      </w:pPr>
      <w:r>
        <w:rPr>
          <w:u w:val="single"/>
          <w:lang w:val="el" w:eastAsia="el"/>
        </w:rPr>
        <w:t>20. Σύνδεσμος Εμπόρων Εισαγωγέων αυτοκινήτων Ελλάδος</w:t>
      </w:r>
    </w:p>
    <w:p>
      <w:pPr>
        <w:spacing w:before="240" w:after="240"/>
        <w:rPr>
          <w:lang w:val="el" w:eastAsia="el"/>
        </w:rPr>
      </w:pPr>
      <w:r>
        <w:rPr>
          <w:u w:val="single"/>
          <w:lang w:val="el" w:eastAsia="el"/>
        </w:rPr>
        <w:t>Ελ. Βενιζέλου 248, 176 75 Καλλιθέα</w:t>
      </w:r>
    </w:p>
    <w:p>
      <w:pPr>
        <w:spacing w:before="240" w:after="240"/>
        <w:rPr>
          <w:lang w:val="el" w:eastAsia="el"/>
        </w:rPr>
      </w:pPr>
      <w:r>
        <w:rPr>
          <w:u w:val="single"/>
          <w:lang w:val="el" w:eastAsia="el"/>
        </w:rPr>
        <w:t>21. Πανελλήνια Ομοσπονδία ΤΑΞΙ &amp; Αγοραίων</w:t>
      </w:r>
    </w:p>
    <w:p>
      <w:pPr>
        <w:spacing w:before="240" w:after="240"/>
        <w:rPr>
          <w:lang w:val="el" w:eastAsia="el"/>
        </w:rPr>
      </w:pPr>
      <w:r>
        <w:rPr>
          <w:u w:val="single"/>
          <w:lang w:val="el" w:eastAsia="el"/>
        </w:rPr>
        <w:t>Πειραιώς 4, 104 31 Αθήνα</w:t>
      </w:r>
    </w:p>
    <w:p>
      <w:pPr>
        <w:spacing w:before="240" w:after="240"/>
        <w:rPr>
          <w:lang w:val="el" w:eastAsia="el"/>
        </w:rPr>
      </w:pPr>
      <w:r>
        <w:rPr>
          <w:u w:val="single"/>
          <w:lang w:val="el" w:eastAsia="el"/>
        </w:rPr>
        <w:t>22. Συνδικάτο Αυτοκινητιστών ταξί Αττικής (Σ.Α.Τ.Α.)</w:t>
      </w:r>
    </w:p>
    <w:p>
      <w:pPr>
        <w:spacing w:before="240" w:after="240"/>
        <w:rPr>
          <w:lang w:val="el" w:eastAsia="el"/>
        </w:rPr>
      </w:pPr>
      <w:r>
        <w:rPr>
          <w:u w:val="single"/>
          <w:lang w:val="el" w:eastAsia="el"/>
        </w:rPr>
        <w:t>Μάρνη 17, 104 33 Αθήνα</w:t>
      </w:r>
    </w:p>
    <w:p>
      <w:pPr>
        <w:spacing w:before="240" w:after="240"/>
        <w:rPr>
          <w:lang w:val="el" w:eastAsia="el"/>
        </w:rPr>
      </w:pPr>
      <w:r>
        <w:rPr>
          <w:u w:val="single"/>
          <w:lang w:val="el" w:eastAsia="el"/>
        </w:rPr>
        <w:t>23. Ένωση Εισαγωγέων Μεταχειρισμένων Ανταλλακτικών Αυτοκινήτων Αθηνών, Πειραιώς και Περιχώρων (Ε.Ε.Μ.Α.Α.)</w:t>
      </w:r>
    </w:p>
    <w:p>
      <w:pPr>
        <w:spacing w:before="240" w:after="240"/>
        <w:rPr>
          <w:lang w:val="el" w:eastAsia="el"/>
        </w:rPr>
      </w:pPr>
      <w:r>
        <w:rPr>
          <w:u w:val="single"/>
          <w:lang w:val="el" w:eastAsia="el"/>
        </w:rPr>
        <w:t>Κασσάνδρας 15, 104 47 Αθήνα</w:t>
      </w:r>
    </w:p>
    <w:p>
      <w:pPr>
        <w:spacing w:before="240" w:after="240"/>
        <w:rPr>
          <w:lang w:val="el" w:eastAsia="el"/>
        </w:rPr>
      </w:pPr>
      <w:r>
        <w:rPr>
          <w:u w:val="single"/>
          <w:lang w:val="el" w:eastAsia="el"/>
        </w:rPr>
        <w:t>24. Σύνδεσμος Τουριστικών Επιχειρήσεων Ενοικιάσεως Αυτοκινήτων</w:t>
      </w:r>
    </w:p>
    <w:p>
      <w:pPr>
        <w:spacing w:before="240" w:after="240"/>
        <w:rPr>
          <w:lang w:val="el" w:eastAsia="el"/>
        </w:rPr>
      </w:pPr>
      <w:r>
        <w:rPr>
          <w:u w:val="single"/>
          <w:lang w:val="el" w:eastAsia="el"/>
        </w:rPr>
        <w:t>Βιλτανιώτη 31, 145 64 Κηφισιά</w:t>
      </w:r>
    </w:p>
    <w:p>
      <w:pPr>
        <w:spacing w:before="240" w:after="240"/>
        <w:rPr>
          <w:lang w:val="el" w:eastAsia="el"/>
        </w:rPr>
      </w:pPr>
      <w:r>
        <w:rPr>
          <w:u w:val="single"/>
          <w:lang w:val="el" w:eastAsia="el"/>
        </w:rPr>
        <w:t>25. Ένωση Ελληνικών Εταιριών Χρηματοδοτικής Μίσθωσης</w:t>
      </w:r>
    </w:p>
    <w:p>
      <w:pPr>
        <w:spacing w:before="240" w:after="240"/>
        <w:rPr>
          <w:lang w:val="el" w:eastAsia="el"/>
        </w:rPr>
      </w:pPr>
      <w:r>
        <w:rPr>
          <w:u w:val="single"/>
          <w:lang w:val="el" w:eastAsia="el"/>
        </w:rPr>
        <w:t>Σινώπης 27,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Αυτοτελές Τμήμα Υποστήριξης Γενικής Διεύθυνσης Τελωνείων και Ε.Φ.Κ.</w:t>
      </w:r>
    </w:p>
    <w:p>
      <w:pPr>
        <w:spacing w:before="240" w:after="240"/>
        <w:rPr>
          <w:lang w:val="el" w:eastAsia="el"/>
        </w:rPr>
      </w:pPr>
      <w:r>
        <w:rPr>
          <w:u w:val="single"/>
          <w:lang w:val="el" w:eastAsia="el"/>
        </w:rPr>
        <w:t>3. Δ/νση Στρατηγικής Τελωνειακών Ελέγχων και Παραβάσεων</w:t>
      </w:r>
    </w:p>
    <w:p>
      <w:pPr>
        <w:spacing w:before="240" w:after="240"/>
        <w:rPr>
          <w:lang w:val="el" w:eastAsia="el"/>
        </w:rPr>
      </w:pPr>
      <w:r>
        <w:rPr>
          <w:u w:val="single"/>
          <w:lang w:val="el" w:eastAsia="el"/>
        </w:rPr>
        <w:t>4. Δ/νση Τελωνειακών Διαδικασιών</w:t>
      </w:r>
    </w:p>
    <w:p>
      <w:pPr>
        <w:spacing w:before="240" w:after="240"/>
        <w:rPr>
          <w:lang w:val="el" w:eastAsia="el"/>
        </w:rPr>
      </w:pPr>
      <w:r>
        <w:rPr>
          <w:u w:val="single"/>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u w:val="single"/>
          <w:lang w:val="el" w:eastAsia="el"/>
        </w:rPr>
        <w:t>6. Δ/νση Ε.Φ.Κ. &amp; Φ.Π.Α. - Τμήματα Α΄, Β΄, Γ΄ Δ΄, Ε΄</w:t>
      </w:r>
    </w:p>
    <w:p>
      <w:pPr>
        <w:spacing w:before="240" w:after="240"/>
        <w:rPr>
          <w:lang w:val="el" w:eastAsia="el"/>
        </w:rPr>
      </w:pPr>
      <w:r>
        <w:rPr>
          <w:u w:val="single"/>
          <w:lang w:val="el" w:eastAsia="el"/>
        </w:rPr>
        <w:t>7. ΓΔΗΛΕΔ</w:t>
      </w:r>
    </w:p>
    <w:p>
      <w:pPr>
        <w:spacing w:before="240" w:after="240"/>
        <w:rPr>
          <w:lang w:val="el" w:eastAsia="el"/>
        </w:rPr>
      </w:pPr>
      <w:r>
        <w:rPr>
          <w:u w:val="single"/>
          <w:lang w:val="el" w:eastAsia="el"/>
        </w:rPr>
        <w:t>8. ΔΙΕΠΙΔΙ/Υποδιεύθυνση Β΄</w:t>
      </w:r>
    </w:p>
    <w:p>
      <w:pPr>
        <w:spacing w:before="240" w:after="240"/>
        <w:rPr>
          <w:lang w:val="el" w:eastAsia="el"/>
        </w:rPr>
      </w:pPr>
      <w:r>
        <w:rPr>
          <w:u w:val="single"/>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