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της υπ’ αριθμ. οικ.21221-14/07/2020 (Β’ 3007) απόφασης του</w:t>
      </w:r>
    </w:p>
    <w:p>
      <w:pPr>
        <w:spacing w:before="240" w:after="240"/>
        <w:rPr>
          <w:lang w:val="el" w:eastAsia="el"/>
        </w:rPr>
      </w:pPr>
      <w:r>
        <w:rPr>
          <w:b/>
          <w:bCs/>
          <w:lang w:val="el" w:eastAsia="el"/>
        </w:rPr>
        <w:t>Υπουργού Μετανάστευσης και Ασύλου “Παράταση ισχύος των αδειών διαμονής και των δελτίων διαμονής και μόνιμης διαμονής, που εκδίδονται κατ’ εφαρμογή του ν.4251/2014 (Α’ 80) και του π.δ. 106/2007 (Α’ 135), καθώς και των βεβαιώσεων κατάθεσης αίτησης των άρθρων 8 και 9 του ν.4251/2014.”»</w:t>
      </w:r>
    </w:p>
    <w:p>
      <w:pPr>
        <w:spacing w:before="240" w:after="240"/>
        <w:rPr>
          <w:lang w:val="el" w:eastAsia="el"/>
        </w:rPr>
      </w:pPr>
      <w:r>
        <w:rPr>
          <w:lang w:val="el" w:eastAsia="el"/>
        </w:rPr>
        <w:t>Σας κοινοποιούμε τις διατάξεις της από 14/07/2020 (Β’ 3007) απόφασης του Υπουργού Μετανάστευσης και Ασύλου για τις δικές σας ενέργειες.</w:t>
      </w:r>
    </w:p>
    <w:p>
      <w:pPr>
        <w:spacing w:before="240" w:after="240"/>
        <w:rPr>
          <w:lang w:val="el" w:eastAsia="el"/>
        </w:rPr>
      </w:pPr>
      <w:r>
        <w:rPr>
          <w:lang w:val="el" w:eastAsia="el"/>
        </w:rPr>
        <w:t>Ειδικότερα, με τις ως άνω διατάξεις ορίζονται τα εξής:</w:t>
      </w:r>
    </w:p>
    <w:p>
      <w:pPr>
        <w:spacing w:before="240" w:after="240"/>
        <w:rPr>
          <w:lang w:val="el" w:eastAsia="el"/>
        </w:rPr>
      </w:pPr>
      <w:r>
        <w:rPr>
          <w:lang w:val="el" w:eastAsia="el"/>
        </w:rPr>
        <w:t>«1. Η ισχύς των οριστικών τίτλων διαμονής πολιτών τρίτων χωρών, οι οποίοι έχουν εκδοθεί από τις υπηρεσίες Αλλοδαπών και Μετανάστευσης των Αποκεντρωμένων Διοικήσεων της χώρας και τη Διεύθυνση Μεταναστευτικής Πολιτικής του Υπουργείου Μετανάστευσης και Ασύλου και λήγουν από την 20η Ιουλίου 2020 έως και την 31η Δεκεμβρίου 2020, παρατείνεται αυτοδικαίως, για οκτώ (8) μήνες από την ημερομηνία λήξης τους, χωρίς την ανάγκη έκδοσης σχετικής διαπιστωτικής πράξης. Κατά το διάστημα ισχύος της οκτάμηνης παράτασης, ο πολίτης τρίτης χώρας που είναι κάτοχος του σχετικού τίτλου διαμονής, διαμένει νόμιμα στην ελληνική επικράτεια και απολαύει των δικαιωμάτων που απορρέουν τον τίτλο διαμονής που κατέχει. Η έναρξη ισχύος των τίτλων διαμονής που θα εκδοθούν, σε ανανέωση των ανωτέρω τίτλων διαμονής, ανατρέχει στην επομένη ημέρα από την ημερομηνία λήξης του παραταθέντος τίτλου διαμονής. Αιτήματα ανανέωσης των ως άνω οριστικών τίτλων διαμονής, δύναται να κατατίθενται σε όλο το χρονικό διάστημα της παράτασης αυτών, στο πλαίσιο της λειτουργικής και διοικητικής ικανότητας των αρμόδιων υπηρεσιών ή κατά προτεραιότητα, εφόσον συντρέχει αναγκαίος προς τούτο λόγος.</w:t>
      </w:r>
    </w:p>
    <w:p>
      <w:pPr>
        <w:spacing w:before="240" w:after="240"/>
        <w:rPr>
          <w:lang w:val="el" w:eastAsia="el"/>
        </w:rPr>
      </w:pPr>
      <w:r>
        <w:rPr>
          <w:lang w:val="el" w:eastAsia="el"/>
        </w:rPr>
        <w:t>2. Η ισχύς των βεβαιώσεων κατάθεσης αίτησης που χορηγούνται σε εφαρμογή των άρθρων 8 και 9 του ν.4251/2014 και του π.δ. 106/2007 αντίστοιχα, οι οποίες έχουν εκδοθεί από τις υπηρεσίες Αλλοδαπών και Μετανάστευσης των Αποκεντρωμένων Διοικήσεων της χώρας και τη Διεύθυνση Μεταναστευτικής Πολιτικής του Υπουργείου Μετανάστευσης και Ασύλου και λήγουν από την 20η Ιουλίου έως και την 31η Δεκεμβρίου 2020, παρατείνεται αυτοδικαίως, για οκτώ (8) μήνες από την ημερομηνία λήξης τους, χωρίς την ανάγκη αντικατάστασής τους. Κατά το διάστημα ισχύος της οκτάμηνης παράτασης, ο πολίτης τρίτης χώρας που είναι κάτοχος βεβαίωσης κατάθεσης αίτησης, ως ανωτέρω, διαμένει νόμιμα στην ελληνική επικράτεια και απολαύει των δικαιωμάτων που απορρέουν από τον τίτλο διαμονής, τη χορήγηση του οποίου έχει αιτηθεί ή των δικαιωμάτων που απορρέουν από τον τίτλο διαμονής που κατείχε, στην περίπτωση αιτήματος ανανέωσης αυτού.»</w:t>
      </w:r>
    </w:p>
    <w:p>
      <w:pPr>
        <w:spacing w:before="240" w:after="240"/>
        <w:rPr>
          <w:lang w:val="el" w:eastAsia="el"/>
        </w:rPr>
      </w:pPr>
      <w:r>
        <w:rPr>
          <w:lang w:val="el" w:eastAsia="el"/>
        </w:rPr>
        <w:t>Για την ορθή και ομοιόμορφη εφαρμογή των ανωτέρω διατάξεων από τον αρμόδιο υπάλληλο του Τμήματος ή Γραφείου Διοικητικής και Μηχανογραφικής υποστήριξης των Δ.Ο.Υ. και της Υπηρεσίας myAADElive, διευκρινίζονται τα κάτωθι:</w:t>
      </w:r>
    </w:p>
    <w:p>
      <w:pPr>
        <w:spacing w:before="240" w:after="240"/>
        <w:rPr>
          <w:lang w:val="el" w:eastAsia="el"/>
        </w:rPr>
      </w:pPr>
      <w:r>
        <w:rPr>
          <w:lang w:val="el" w:eastAsia="el"/>
        </w:rPr>
        <w:t>Οι ανωτέρω διατάξεις αφορούν οριστικούς τίτλους διαμονής (</w:t>
      </w:r>
      <w:r>
        <w:rPr>
          <w:b/>
          <w:bCs/>
          <w:lang w:val="el" w:eastAsia="el"/>
        </w:rPr>
        <w:t>άδειες διαμονής</w:t>
      </w:r>
      <w:r>
        <w:rPr>
          <w:lang w:val="el" w:eastAsia="el"/>
        </w:rPr>
        <w:t xml:space="preserve">, </w:t>
      </w:r>
      <w:r>
        <w:rPr>
          <w:b/>
          <w:bCs/>
          <w:lang w:val="el" w:eastAsia="el"/>
        </w:rPr>
        <w:t>δελτία διαμονής</w:t>
      </w:r>
      <w:r>
        <w:rPr>
          <w:lang w:val="el" w:eastAsia="el"/>
        </w:rPr>
        <w:t xml:space="preserve">, </w:t>
      </w:r>
      <w:r>
        <w:rPr>
          <w:b/>
          <w:bCs/>
          <w:lang w:val="el" w:eastAsia="el"/>
        </w:rPr>
        <w:t>δελτία μόνιμης διαμονής</w:t>
      </w:r>
      <w:r>
        <w:rPr>
          <w:lang w:val="el" w:eastAsia="el"/>
        </w:rPr>
        <w:t xml:space="preserve">) και </w:t>
      </w:r>
      <w:r>
        <w:rPr>
          <w:b/>
          <w:bCs/>
          <w:lang w:val="el" w:eastAsia="el"/>
        </w:rPr>
        <w:t xml:space="preserve">βεβαιώσεις κατάθεσης αίτησης διαμονής </w:t>
      </w:r>
      <w:r>
        <w:rPr>
          <w:lang w:val="el" w:eastAsia="el"/>
        </w:rPr>
        <w:t>που έχουν εκδοθεί από τις υπηρεσίες Αλλοδαπών και Μετανάστευσης των Αποκεντρωμένων Διοικήσεων της χώρας και τη Διεύθυνση Μεταναστευτικής Πολιτικής.</w:t>
      </w:r>
    </w:p>
    <w:p>
      <w:pPr>
        <w:spacing w:before="240" w:after="240"/>
        <w:rPr>
          <w:lang w:val="el" w:eastAsia="el"/>
        </w:rPr>
      </w:pPr>
      <w:r>
        <w:rPr>
          <w:lang w:val="el" w:eastAsia="el"/>
        </w:rPr>
        <w:t>Συνεπώς, η παράταση ισχύος για διάστημα οκτώ (8) μηνών από την ημερομηνία λήξης ισχύει για τα ανωτέρω αναφερόμενα έντυπα διαμονής με ημερομηνία λήξης από 20/07/2020 έως και 31/12/2020.</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lang w:val="el" w:eastAsia="el"/>
        </w:rPr>
        <w:t>ΣΥΝΗΜΜΕΝΑ: Ένα (1) φύλλο</w:t>
      </w:r>
    </w:p>
    <w:p>
      <w:pPr>
        <w:spacing w:before="240" w:after="240"/>
        <w:rPr>
          <w:lang w:val="el" w:eastAsia="el"/>
        </w:rPr>
      </w:pPr>
      <w:r>
        <w:rPr>
          <w:b/>
          <w:bCs/>
          <w:u w:val="single"/>
          <w:lang w:val="el" w:eastAsia="el"/>
        </w:rPr>
        <w:t>ΠΙΝΑΚΑΣ ΔΙΑΝΟΜΗΣ</w:t>
      </w:r>
      <w:r>
        <w:rPr>
          <w:b/>
          <w:bCs/>
          <w:lang w:val="el" w:eastAsia="el"/>
        </w:rPr>
        <w:t xml:space="preserve"> Ι. </w:t>
      </w:r>
      <w:r>
        <w:rPr>
          <w:b/>
          <w:bCs/>
          <w:u w:val="single"/>
          <w:lang w:val="el" w:eastAsia="el"/>
        </w:rPr>
        <w:t>ΑΠΟΔΕΚΤΕΣ ΠΡΟΣ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Ελέγχων - Τμήμα ΙΓ΄-Υπηρεσία myAADElive</w:t>
      </w:r>
    </w:p>
    <w:p>
      <w:pPr>
        <w:spacing w:before="240" w:after="240"/>
        <w:rPr>
          <w:lang w:val="el" w:eastAsia="el"/>
        </w:rPr>
      </w:pPr>
      <w:r>
        <w:rPr>
          <w:lang w:val="el" w:eastAsia="el"/>
        </w:rPr>
        <w:t xml:space="preserve">4. </w:t>
      </w:r>
      <w:r>
        <w:rPr>
          <w:b/>
          <w:bCs/>
          <w:lang w:val="el" w:eastAsia="el"/>
        </w:rPr>
        <w:t>Διεύθυνση Υπηρεσιών Δεδομένων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της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του Πίνακα Α΄ με α/α 1 και 4</w:t>
      </w:r>
    </w:p>
    <w:p>
      <w:pPr>
        <w:spacing w:before="240" w:after="240"/>
        <w:rPr>
          <w:lang w:val="el" w:eastAsia="el"/>
        </w:rPr>
      </w:pPr>
      <w:r>
        <w:rPr>
          <w:lang w:val="el" w:eastAsia="el"/>
        </w:rPr>
        <w:t xml:space="preserve">5. </w:t>
      </w:r>
      <w:r>
        <w:rPr>
          <w:b/>
          <w:bCs/>
          <w:lang w:val="el" w:eastAsia="el"/>
        </w:rPr>
        <w:t>Αποδέκτες του Πίνακα Β΄</w:t>
      </w:r>
    </w:p>
    <w:p>
      <w:pPr>
        <w:spacing w:before="240" w:after="240"/>
        <w:rPr>
          <w:lang w:val="el" w:eastAsia="el"/>
        </w:rPr>
      </w:pPr>
      <w:r>
        <w:rPr>
          <w:lang w:val="el" w:eastAsia="el"/>
        </w:rPr>
        <w:t xml:space="preserve">6. </w:t>
      </w:r>
      <w:r>
        <w:rPr>
          <w:b/>
          <w:bCs/>
          <w:lang w:val="el" w:eastAsia="el"/>
        </w:rPr>
        <w:t>Αποδέκτες του Πίνακα Γ΄, εκτός του με α/α 6 αυτού</w:t>
      </w:r>
    </w:p>
    <w:p>
      <w:pPr>
        <w:spacing w:before="240" w:after="240"/>
        <w:rPr>
          <w:lang w:val="el" w:eastAsia="el"/>
        </w:rPr>
      </w:pPr>
      <w:r>
        <w:rPr>
          <w:lang w:val="el" w:eastAsia="el"/>
        </w:rPr>
        <w:t xml:space="preserve">7. </w:t>
      </w:r>
      <w:r>
        <w:rPr>
          <w:b/>
          <w:bCs/>
          <w:lang w:val="el" w:eastAsia="el"/>
        </w:rPr>
        <w:t>Αποδέκτες του Πίνακα Ζ΄ με α/α 1 και 7</w:t>
      </w:r>
    </w:p>
    <w:p>
      <w:pPr>
        <w:spacing w:before="240" w:after="240"/>
        <w:rPr>
          <w:lang w:val="el" w:eastAsia="el"/>
        </w:rPr>
      </w:pPr>
      <w:r>
        <w:rPr>
          <w:lang w:val="el" w:eastAsia="el"/>
        </w:rPr>
        <w:t xml:space="preserve">8. </w:t>
      </w:r>
      <w:r>
        <w:rPr>
          <w:b/>
          <w:bCs/>
          <w:lang w:val="el" w:eastAsia="el"/>
        </w:rPr>
        <w:t>Αποδέκτες του Πίνακα Η΄, εκτός των με α/α 4, 10 και 11 αυτού</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Προϊσταμένου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Ελέγχων –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