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ΚΑΙ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Ε.Φ.Κ. ΚΑΙ Φ.Π.Α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 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Τηλεομοιότυπο (Fax)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Ηλ. Ταχυδρομείο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Ιστότοπος (Url)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ΠΡΟΣ: </w:t>
      </w:r>
      <w:r>
        <w:rPr>
          <w:b/>
          <w:bCs/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διατάξεων του τρίτου άρθρου «Εισαγωγή μετουσιωμένης αιθυλικής αλκοόλης» της Πράξης Νομοθετικού Περιεχομένου (ΠΝΠ) της 10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Αυγούστου 2020 (Α’ 157).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τις διατάξεις του τρίτου άρθρου της ΠΝΠ «</w:t>
      </w:r>
      <w:r>
        <w:rPr>
          <w:i/>
          <w:iCs/>
          <w:lang w:val="el" w:eastAsia="el"/>
        </w:rPr>
        <w:t>Επείγουσες ρυθμίσεις αντιμετώπισης εκτάκτων αναγκών του Εθνικού Συστήματος Υγείας, προστασίας από τη διασπορά του κορωνοϊού COVID-19, στήριξης της αγοράς εργασίας και διευκόλυνσης της εκπαιδευτικής διαδικασίας</w:t>
      </w:r>
      <w:r>
        <w:rPr>
          <w:lang w:val="el" w:eastAsia="el"/>
        </w:rPr>
        <w:t>» (Α΄ 157), με το οποίο παρατείνεται, έως την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Δεκεμβρίου 2020, η προβλεπόμενη, βάσει του εικοστού τρίτου άρθρου της από 20.03.2020 ΠΝΠ (Α’ 68) που κυρώθηκε με το άρθρο 1 του ν.4683/2020 (ΦΕΚ 83 Α΄), δυνατότητα χορήγησης άδειας εισαγωγής μετουσιωμένης αιθυλικής αλκοόλης με απόφαση του Υπουργού Ανάπτυξης και Επενδύσεων.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ΔΙΕΘΥΝΤΗΣ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ΤΕΛΩΝΕΙΩΝ &amp; Ε.Φ.ΚΜΟΥΡΤΙΔΗΣ ΚΩΝ/ΝΟΣ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Χημικές Υπηρεσίες Γ.Χ.Κ.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 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Δ/νση Στρατηγικής Τεχνολογιών Πληροφορικής (ΔΙ.Σ.ΤΕ.ΠΛ)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Ανάπτυξης Διαδικτυακών Ιστοτόπων και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ενημέρωση της ηλεκτρονικής βιβλιοθήκης)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Β΄- Απαιτήσεων και Ελέγχου Εφαρμογών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ανάρτηση στο portal)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Διεθνών Οικονομικών Σχέσεων (Δ.Ο.Σ.) Α.Α.Δ.Ε.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&amp;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Εσωτερικού Ελέγχου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Υπηρεσίες Ερευνών και Διασφάλισης Δημοσίων Εσόδων (Υ.Ε.Δ.Δ.Ε)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Τελωνειακές Περιφέρειες Αττικής, Θεσσαλονίκης, Αχαΐας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Γενική Διεύθυνση Διαχείρισης Ανθρώπινου Δυναμικού και Οργάνωσης Α.Α.Δ.Ε.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β) Διεύθυνση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. Ελεγκτικές Υπηρεσίες Τελωνείων (ΕΛ.Υ.Τ) Αττικής,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Οικονομικό Επιμελητήριο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12-14, ΤΚ 105 63 –Αθήνα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oexex@oex-ex.gr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6, TK 106 71 -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kexexuhcci@uhc.gr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Εμπορικό και Βιομηχανικό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info@acc.gr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18, ΤΚ 106 71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info@acsmi.gr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 . Σύνδεσμος Ελληνικών Βιομηχανιών (Σ.Ε.Β.)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Τ.Κ. 105 57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info@sexv.org.gr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82, ΤΚ 185 32 –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oextex@oextex.gr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Σύλλογος Εκτελωνιστών Πειραιώς –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38, ΤΚ 185 31 –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Σύνδεσμος Επιχειρήσεων και Βιομηχανιών (ΣΕΒ) (Με την παράκληση να ενημερώσει τα μέλη του) Ξενοφώντος 5, Τ.Κ. 105 57 Αθήνα, ex-mail: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info@sexv.org.gr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Γεν. Δ/νση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Αυτοτελές Τμήμα Υποστήριξης Γενικής Διεύθυνσης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Δ/νση Ειδικών Φόρων Κατανάλωσης &amp; Φ.Π.Α.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Γεν. Δ/νση Γενικού Χημείου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Γραφείο κ. Γενικής Δ/ντριας Γ.Χ.Κ.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Δ/νση Αλκοόλης και Τροφίμων -Τμήμα Α’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sexv.org.gr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ee@oe-e.gr" TargetMode="External" /><Relationship Id="rId5" Type="http://schemas.openxmlformats.org/officeDocument/2006/relationships/hyperlink" Target="mailto:keeuhcci@uhc.gr" TargetMode="External" /><Relationship Id="rId6" Type="http://schemas.openxmlformats.org/officeDocument/2006/relationships/hyperlink" Target="mailto:info@acc.gr" TargetMode="External" /><Relationship Id="rId7" Type="http://schemas.openxmlformats.org/officeDocument/2006/relationships/hyperlink" Target="mailto:info@acsmi.gr" TargetMode="External" /><Relationship Id="rId8" Type="http://schemas.openxmlformats.org/officeDocument/2006/relationships/hyperlink" Target="mailto:info@sexv.org.gr" TargetMode="External" /><Relationship Id="rId9" Type="http://schemas.openxmlformats.org/officeDocument/2006/relationships/hyperlink" Target="mailto:oete@oete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