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ΑΝΑΡΤΗΤΕΑ ΣΤΟ ΔΙΑΔΙΚΤΥΟ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ΑΔΑ: ΩΚ8Γ46ΜΠ3Ζ-04Ι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Δ/νση Στρατηγικής Τεχνολογιών Πληροφορικής (με την παράκληση να αναρτηθεί στην ιστοσελίδα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Γενική Δ/νση Ηλεκτρονικής Διακυβέρνησης ΑΑΔΕ (με την παράκληση να αναρτηθεί στο διαδικτυακό τόπο της Α.Α.Δ.Ε.)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Ηλεκτρονική Βιβλιοθήκη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πίνακα Γ΄ (εκτός του αριθμού 2 αυτού)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Επιχειρησιακή Δ/νση ΣΔΟΕ Αττικής και Επιχειρησιακή Δ/νση ΣΔΟΕ Μακεδονίας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κ.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Γενικής Γραμματέως Φορολογικής Πολιτικής &amp; Δημόσιας Περιουσίας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Αποδέκτες πινάκων Α΄, Β΄ (εκτός των αριθ.1 και 2 αυτού), Ζ΄, Η΄, Θ΄, Ι΄, ΙΒ΄, ΙΓ΄, ΙΔ΄, ΙΕ΄, ΙΣΤ΄, ΙΖ΄, ΙΗ΄, ΙΘ΄, Κ΄, ΚΑ΄, ΚΒ΄ και ΚΓ΄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ΔΤΔ – Εγκεκριμένοι Οικονομικοί Φορείς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Υπουργείο Οικονομικών, Επιτροπή Λογιστικής Τυποποίησης και Ελέγχων (ΕΛΤΕ), Βουλής 7 - 105 62,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Υπουργείο Ανάπτυξης και Επενδύσεων, Γενική Γραμματεία Εμπορίου &amp; Προστασίας Καταναλωτή, Γενική Δ/νση Αγοράς, Δ/νση Εταιρειών, Πλ. Κάνιγγος, Τ.Κ. 10181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ΠΕΡΙΟΔΙΚΟ «ΦΟΡΟΛΟΓΙΚΗ ΕΠΙΘΕΩΡΗΣΗ»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κ.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κας Γενικής Δ/ντριας Φορολογικής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Γραφεία κ.κ. Γενικών Δ/ντών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Διεύθυνση Εφαρμογής Άμεσης Φορολογίας – Τμήματα Α΄, Β΄,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Διεύθυνση Νομικής Υποστήριξης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7. </w:t>
      </w:r>
      <w:r>
        <w:rPr>
          <w:lang w:val="el" w:eastAsia="el"/>
        </w:rPr>
        <w:t>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