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ΑΔΑ:ΩΖΚ246ΜΠ3Ζ-17Ρ ΩΖΚ246ΜΠ3Ζ-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27 Οκτωβρίου 2020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Ε. 2171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10672, Αθήνα 210 3614303, 3613274 210 3635077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g.poutoglidou@aade.gr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89 του ν. 4714/2020 (Α΄ 148/31-7-2020) περί έκτακτης αυτοδίκαιης παράτασης διαδικασιών ειδικής διαχείρισης (άρθρα 68 επ. του ν. 4307/2014)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συνημμένα τις διατάξεις του άρθρου 89 </w:t>
      </w:r>
      <w:r>
        <w:rPr>
          <w:i/>
          <w:iCs/>
          <w:lang w:val="el" w:eastAsia="el"/>
        </w:rPr>
        <w:t>(«Έκτακτη παράταση της διάρκειας ορισμένων διαδικασιών ειδικής διαχείρισης του ν. 4307/2014»)</w:t>
      </w:r>
      <w:r>
        <w:rPr>
          <w:lang w:val="el" w:eastAsia="el"/>
        </w:rPr>
        <w:t xml:space="preserve"> του ν. 4714/2020 (Α΄ 148/31-7-2020), με το οποίο προβλέπεται ότι εξαιρετικά για το έτος 2020: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 χρονική διάρκεια της διαδικασίας ειδικής διαχείρισης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 xml:space="preserve">η οποία, σύμφωνα με την παρ. 3 του άρθρου 69 του ν. 4307/2014, όπως αντικαταστάθηκε με το άρθρο 64 του ν. 4647/2019 (Α΄204) είναι είκοσι τέσσερεις (24) μήνες από τη δημοσίευση της δικαστικής απόφασης περί υπαγωγής στη διαδικασία </w:t>
      </w:r>
      <w:r>
        <w:rPr>
          <w:lang w:val="el" w:eastAsia="el"/>
        </w:rPr>
        <w:t xml:space="preserve">(με δυνατότητα παράτασης 6 επιπλέον μηνών από το δικαστήριο, κατόπιν σχετικής αίτησης) </w:t>
      </w:r>
      <w:r>
        <w:rPr>
          <w:b/>
          <w:bCs/>
          <w:lang w:val="el" w:eastAsia="el"/>
        </w:rPr>
        <w:t>παρατείνεται αυτοδικαίως κατά τρεις (3) μήνες για όσες επιχειρήσεις βρίσκονται στο τελευταίο εξάμηνο της διαδικασίας ειδικής διαχείρισης κατά τον χρόνο έναρξης ισχύος του κοινοποιούμενου άρθρου, δηλαδή κατά την 31η/7/2020,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ομοίως, </w:t>
      </w:r>
      <w:r>
        <w:rPr>
          <w:b/>
          <w:bCs/>
          <w:lang w:val="el" w:eastAsia="el"/>
        </w:rPr>
        <w:t>παρατείνεται αυτοδικαίως κατά τρεις (3) μήνες η χρονική διάρκεια της διαδικασίας ειδικής διαχείρισης για επιχειρήσεις που κατά την 31η/7/2020 διάγουν τον επιπλέον των είκοσι τεσσάρων (24) μηνών χρόνο που έχει δοθεί με δικαστική απόφαση κατά την παρ. 3 του άρθρου 69 του ν. 4307/2014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τις επιχειρήσεις που έχουν ήδη, κατά την 31η/7/2020, αιτηθεί στο δικαστήριο σχετική παράταση </w:t>
      </w:r>
      <w:r>
        <w:rPr>
          <w:b/>
          <w:bCs/>
          <w:lang w:val="el" w:eastAsia="el"/>
        </w:rPr>
        <w:t xml:space="preserve">(σύμφωνα με την παρ. 3 του άρθρου 69 του ν. 4307/2014, όπως ισχύει), </w:t>
      </w:r>
      <w:r>
        <w:rPr>
          <w:b/>
          <w:bCs/>
          <w:lang w:val="el" w:eastAsia="el"/>
        </w:rPr>
        <w:t>η οποία χορηγείται από το δικαστήριο μετά την ανωτέρω ημερομηνία (31/7/2020) το χρονικό διάστημα της παράτασης προσαυξάνεται κατά τρεις επιπλέον (3) μήνες.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αυτοδίκαιη παράταση που προβλέπεται στις προηγούμενες περιπτώσεις δεν εφαρμόζεται σε διαδικασίες για τις οποίες συντρέχουν ήδη κατά την 31η/7/2020 οι προϋποθέσεις εφαρμογής των δεύτερου και του τρίτου εδαφίου της παρ. 1 και της παρ. 2 του άρθρου 76 του νόμου 4307/2014.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Συν:</w:t>
      </w:r>
      <w:r>
        <w:rPr>
          <w:b/>
          <w:bCs/>
          <w:lang w:val="el" w:eastAsia="el"/>
        </w:rPr>
        <w:t xml:space="preserve"> Απόσπασμα του ΦΕΚ Α΄ 148/31-7-2020: διατάξεις του άρθρου 89 και 144 (έναρξη ισχύος) του ν. 4714/2020 : 3 σελίδες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Διοικητής της Α.Α.Δ.Ε.ΓΕΩΡΓΙΟΣ ΠΙΤΣΙΛΗΣ</w:t>
      </w: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Διεύθυνση Στρατηγικής Τεχνολογιών Πληροφορικής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Α΄ (πλην των αποδεκτών προς ενέργεια)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Γενική Διεύθυνση Τελωνείων και Ειδικών Φόρων Κατανάλωσης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Κεντρική Υπηρεσία του Νομικού Συμβουλίου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Υφυπουργού Οικονομικών κ. Βεσυρόπουλου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Προϊσταμένης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Εισπράξεων – Τμήματα Α,Β,Γ,Δ,Ε, Γραμματεία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.poutoglidou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