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lang w:val="el" w:eastAsia="el"/>
        </w:rPr>
        <w:t>Fax : 213 2113142</w:t>
      </w:r>
    </w:p>
    <w:p>
      <w:pPr>
        <w:pStyle w:val="PreambelText"/>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Παροχή διευκρινίσεων αναφορικά με τον έλεγχο εκπρόθεσμων καταστάσεων πελατών– προμηθευτών, ημερολογιακού έτους 2014 και επομένων.</w:t>
      </w:r>
    </w:p>
    <w:p>
      <w:pPr>
        <w:pStyle w:val="PreambelText"/>
        <w:spacing w:before="240" w:after="240"/>
        <w:rPr>
          <w:lang w:val="el" w:eastAsia="el"/>
        </w:rPr>
      </w:pPr>
      <w:r>
        <w:rPr>
          <w:lang w:val="el" w:eastAsia="el"/>
        </w:rPr>
        <w:t>Με αφορμή αιτήματα από Δ.Ο.Υ., τα οποία έχουν υποβληθεί στην υπηρεσία μας, αναφορικά με το ως άνω θέμα, σας γνωρίζουμε τα ακόλουθα:</w:t>
      </w:r>
    </w:p>
    <w:p>
      <w:pPr>
        <w:pStyle w:val="PreambelText"/>
        <w:spacing w:before="240" w:after="240"/>
        <w:rPr>
          <w:lang w:val="el" w:eastAsia="el"/>
        </w:rPr>
      </w:pPr>
      <w:r>
        <w:rPr>
          <w:lang w:val="el" w:eastAsia="el"/>
        </w:rPr>
        <w:t>1. Σύμφωνα με την Απόφαση Γ.Γ.Δ.Ε. ΠΟΛ.1278/31.12.2015, για το ημερολογιακό έτος 2014, οι καταστάσεις φορολογικών στοιχείων των περιπτώσεων: α) των εκδοτών, ανεξαρτήτως κατηγορίας των τηρούμενων βιβλίων τους (απλογραφικά ή διπλογραφικά) ή της απαλλαγής τους από την τήρηση αυτών, καθώς και της υποχρέωσης ή μη υποβολής περιοδικών δηλώσεων Φ.Π.Α. β) των ληπτών, υπόχρεων υποβολής περιοδικών δηλώσεων Φ.Π.Α., γ) των ληπτών, μη υπόχρεων υποβολής περιοδικών δηλώσεων Φ.Π.Α., του δημόσιου και των Ν.Π.Δ.Δ., καθώς και των αγροτών, φυσικών προσώπων,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και δ) των εκδοτών και των ληπτών φορολογικών στοιχείων (εκκαθαρίσεων που η έκδοσή τους προβλέπεται μετά την παρέλευση του πρώτου μήνα του επόμενου ημερολογιακού έτους, υποβάλλονται για την περιπτώσεις α΄ και β΄ τριμηνιαίως και για τις περιπτώσεις γ΄ και δ΄ ετησίως μέχρι και 20.1.2016.</w:t>
      </w:r>
    </w:p>
    <w:p>
      <w:pPr>
        <w:pStyle w:val="PreambelText"/>
        <w:spacing w:before="240" w:after="240"/>
        <w:rPr>
          <w:lang w:val="el" w:eastAsia="el"/>
        </w:rPr>
      </w:pPr>
      <w:r>
        <w:rPr>
          <w:lang w:val="el" w:eastAsia="el"/>
        </w:rPr>
        <w:t>2. Επιπλέον, με την Απόφαση Γ.Γ.Δ.Ε. ΠΟΛ.1011/22.1.2016 ορίζεται ότι τροποποιητική δήλωση για τη διόρθωση των αποκλίσεων στα υποβληθέντα στοιχεία προμηθευτών, για το ημερολογιακό έτος 2014, υποβάλλεται μέχρι και 22.2.2016.</w:t>
      </w:r>
    </w:p>
    <w:p>
      <w:pPr>
        <w:pStyle w:val="PreambelText"/>
        <w:spacing w:before="240" w:after="240"/>
        <w:rPr>
          <w:lang w:val="el" w:eastAsia="el"/>
        </w:rPr>
      </w:pPr>
      <w:r>
        <w:rPr>
          <w:lang w:val="el" w:eastAsia="el"/>
        </w:rPr>
        <w:t>Επισημαίνεται ότι διόρθωση των αποκλίσεων δεν απαιτείται εφόσον η συνολική αξία αυτών, προ Φ.Π.Α., ανά αντισυμβαλλόμενο, δεν ξεπερνά τα εκατό (100) ευρώ.</w:t>
      </w:r>
    </w:p>
    <w:p>
      <w:pPr>
        <w:pStyle w:val="PreambelText"/>
        <w:spacing w:before="240" w:after="240"/>
        <w:rPr>
          <w:lang w:val="el" w:eastAsia="el"/>
        </w:rPr>
      </w:pPr>
      <w:r>
        <w:rPr>
          <w:lang w:val="el" w:eastAsia="el"/>
        </w:rPr>
        <w:t>3. Σύμφωνα με το έγγραφο με αρ. πρωτ. ΔΗΛΕΔ Η 1048151 ΕΞ 26.3.2018, όπως υποβάλλεται συνημμένα, το οποίο κοινοποιήθηκε σε όλες τις Δ.Ο.Υ., στην εφαρμογή ΝeoTaxis από 13.3.2018, έχει προστεθεί νέα οθόνη για την παροχή δυνατότητας στους υπαλλήλους – χρήστες αυτών, εμφάνισης και εκτύπωσης βιβλίου εγκεκριμένων υποβολών καταστάσεων πελατών-προμηθευτών (ΜΥΦ) για το έτος 2014 και εφεξής, προς διευκόλυνση των Δ.Ο.Υ. στη σύνταξη των Εκθέσεων Ελέγχου και στην έκδοση των Πράξεων Επιβολής Προστίμων, που αφορούν τις εκπρόθεσμες καταστάσεις πελατών -προμηθευτών (ΜΥΦ), του έτους 2014.</w:t>
      </w:r>
    </w:p>
    <w:p>
      <w:pPr>
        <w:pStyle w:val="PreambelText"/>
        <w:spacing w:before="240" w:after="240"/>
        <w:rPr>
          <w:lang w:val="el" w:eastAsia="el"/>
        </w:rPr>
      </w:pPr>
      <w:r>
        <w:rPr>
          <w:lang w:val="el" w:eastAsia="el"/>
        </w:rPr>
        <w:t>Επίσης, με το έγγραφο με αρ. πρωτ. ΔΙΕΠΙΔΙ ΥΠΑΕΦ Β 1090901 ΕΞ 30.7.2020, όπως υποβάλλεται συνημμένα, έχουν αποσταλεί, προς όλες τις Δ.Ο.Υ., κωδικοποιημένα, σε μορφή zip, αρχεία, αναφορικά με εκπρόθεσμες δηλώσεις ΜΥΦ έτους 2014, για την περαιτέρω διευκόλυνση των Δ.Ο.Υ., συμβάλλοντας στη μείωση του χρόνου που απαιτείται για την διεκπεραίωση των παραπάνω διαδικασιών.</w:t>
      </w:r>
    </w:p>
    <w:p>
      <w:pPr>
        <w:pStyle w:val="PreambelText"/>
        <w:spacing w:before="240" w:after="240"/>
        <w:rPr>
          <w:lang w:val="el" w:eastAsia="el"/>
        </w:rPr>
      </w:pPr>
      <w:r>
        <w:rPr>
          <w:lang w:val="el" w:eastAsia="el"/>
        </w:rPr>
        <w:t xml:space="preserve">Περαιτέρω, με το έγγραφο με αρ. πρωτ. ΔΙΕΠΙΔΙ ΥΠΑΕΦ Β 1092650 ΕΞ 31.7.2020, όπως υποβάλλεται συνημμένα, </w:t>
      </w:r>
      <w:r>
        <w:rPr>
          <w:b/>
          <w:bCs/>
          <w:lang w:val="el" w:eastAsia="el"/>
        </w:rPr>
        <w:t xml:space="preserve">γνωστοποιήθηκε στις Δ.Ο.Υ., ΚΕ.ΜΕ.ΕΠ και ΚΕ.ΦΟ.ΜΕΠ., ότι είναι διαθέσιμη η εφαρμογή «Έλεγχος Εκπρόθεσμων Δηλώσεων ΜΥΦ», </w:t>
      </w:r>
      <w:r>
        <w:rPr>
          <w:lang w:val="el" w:eastAsia="el"/>
        </w:rPr>
        <w:t xml:space="preserve">με την οποία παρέχεται η δυνατότητα, στους υπαλλήλους- χρήστες αυτής, ελέγχου των εκπροθέσμων δηλώσεων ΜΥΦ (εσόδων- εξόδων), αναφορικά με τυχόν μεταβολές που προκαλούν αυτές, σε ήδη υποβληθέντα εμπρόθεσμα ή επίσης εκπρόθεσμα δεδομένα. </w:t>
      </w:r>
      <w:r>
        <w:rPr>
          <w:b/>
          <w:bCs/>
          <w:lang w:val="el" w:eastAsia="el"/>
        </w:rPr>
        <w:t>Αυτό έχει σαν αποτέλεσμα, εκτός των άλλων, τον εύκολο εντοπισμό των εμπρόθεσμων δηλώσεων που αφορούν σε έξοδα, οι οποίες εκ παραδρομής συμπαρέσυραν και έσοδα, που όμως αυτά είχαν υποβληθεί εμπρόθεσμα, συνεπώς δεν θα έπρεπε να επιβληθούν κυρώσεις για αυτές. Η χρήση της συγκεκριμένης εφαρμογής είναι υποχρεωτική για τους υπαλλήλους των ανωτέρω υπηρεσιών πριν την επιβολή των προβλεπόμενων προστίμων. Σε περίπτωση που εσφαλμένως έχουν επιβληθεί πρόστιμα, παρά τα ανωτέρω, οι ανωτέρω υπηρεσίες προβαίνουν στις απαιτούμενες ενέργειες για τη διαγραφή των προστίμων αυτών και για την επιστροφή τυχόν καταβληθέντων ποσών.</w:t>
      </w:r>
    </w:p>
    <w:p>
      <w:pPr>
        <w:pStyle w:val="PreambelText"/>
        <w:spacing w:before="240" w:after="240"/>
        <w:rPr>
          <w:lang w:val="el" w:eastAsia="el"/>
        </w:rPr>
      </w:pPr>
      <w:r>
        <w:rPr>
          <w:lang w:val="el" w:eastAsia="el"/>
        </w:rPr>
        <w:t>4. Με την ΠΟΛ.1217/29.11.2018 Απόφαση του Διοικητή της Α.Α.Δ.Ε., ορίζεται ότι θεωρείται ως μια δήλωση, η υποβολή των τροποποιητικών καταστάσεων που υποβάλλονται εντός της ίδιας ημερολογιακής ημέρας και αφορούν το ίδιο ημερολογιακό έτος, ανεξαρτήτως του πλήθους των υποβληθεισών τροποποιητικών καταστάσεων εντός της ίδιας ημέρας, καθώς και του πλήθους των τροποποιούμενων στοιχείων σε κάθε μια από τις καταστάσεις αυτές.</w:t>
      </w:r>
    </w:p>
    <w:p>
      <w:pPr>
        <w:pStyle w:val="PreambelText"/>
        <w:spacing w:before="240" w:after="240"/>
        <w:rPr>
          <w:lang w:val="el" w:eastAsia="el"/>
        </w:rPr>
      </w:pPr>
      <w:r>
        <w:rPr>
          <w:lang w:val="el" w:eastAsia="el"/>
        </w:rPr>
        <w:t xml:space="preserve">5. Κατόπιν των ανωτέρω, σε διαπιστώσεις που ανάγονται στα ημερολογιακά έτη 2014 και επόμενα θεωρείται </w:t>
      </w:r>
      <w:r>
        <w:rPr>
          <w:u w:val="single"/>
          <w:lang w:val="el" w:eastAsia="el"/>
        </w:rPr>
        <w:t>ως μία δήλωση</w:t>
      </w:r>
      <w:r>
        <w:rPr>
          <w:lang w:val="el" w:eastAsia="el"/>
        </w:rPr>
        <w:t>, οποιαδήποτε μεταβολή διαπιστώνεται στην υποβολή των τροποποιητικών καταστάσεων που υποβάλλονται εντός της ίδιας ημερολογιακής ημέρας, ανεξαρτήτως του πλήθους των υποβληθεισών τροποποιητικών καταστάσεων εντός της ημέρας αυτής, καθώς και του πλήθους των τροποποιούμενων στοιχείων σε κάθε μια από τις καταστάσεις αυτές.</w:t>
      </w:r>
    </w:p>
    <w:p>
      <w:pPr>
        <w:pStyle w:val="PreambelText"/>
        <w:spacing w:before="240" w:after="240"/>
        <w:rPr>
          <w:lang w:val="el" w:eastAsia="el"/>
        </w:rPr>
      </w:pPr>
      <w:r>
        <w:rPr>
          <w:lang w:val="el" w:eastAsia="el"/>
        </w:rPr>
        <w:t xml:space="preserve">Όσον αφορά τις κυρώσεις, στις περιπτώσεις εκπρόθεσμης υποβολής δήλωσης των υπόψη καταστάσεων που αφορούν τα ημερολογιακά έτη 2014 έως και 2017 επιβάλλεται για τις περιπτώσεις α΄ και β΄ της παρ. 1 του άρθρου 4 της Απόφασης Γ.Γ.Δ.Ε. ΠΟΛ. 1022/2014, όπως ισχύει, </w:t>
      </w:r>
      <w:r>
        <w:rPr>
          <w:b/>
          <w:bCs/>
          <w:lang w:val="el" w:eastAsia="el"/>
        </w:rPr>
        <w:t xml:space="preserve">ένα (1) πρόστιμο των εκατό (100) ευρώ, ανά τρίμηνο </w:t>
      </w:r>
      <w:r>
        <w:rPr>
          <w:lang w:val="el" w:eastAsia="el"/>
        </w:rPr>
        <w:t xml:space="preserve">και για τις περιπτώσεις γ΄ και δ΄ της παρ. 1 του άρθρου 4 αυτής, </w:t>
      </w:r>
      <w:r>
        <w:rPr>
          <w:b/>
          <w:bCs/>
          <w:lang w:val="el" w:eastAsia="el"/>
        </w:rPr>
        <w:t xml:space="preserve">ένα (1) πρόστιμο των εκατό (100) ευρώ ανά έτος, </w:t>
      </w:r>
      <w:r>
        <w:rPr>
          <w:lang w:val="el" w:eastAsia="el"/>
        </w:rPr>
        <w:t>σύμφωνα με τα οριζόμενα στην περ. α΄, της παρ. 2, του άρθρου 54 του ν. 4174/2013.</w:t>
      </w:r>
    </w:p>
    <w:p>
      <w:pPr>
        <w:pStyle w:val="PreambelText"/>
        <w:spacing w:before="240" w:after="240"/>
        <w:rPr>
          <w:lang w:val="el" w:eastAsia="el"/>
        </w:rPr>
      </w:pPr>
      <w:r>
        <w:rPr>
          <w:lang w:val="el" w:eastAsia="el"/>
        </w:rPr>
        <w:t xml:space="preserve">Τέλος, για τα ημερολογιακά έτη 2018 και εφεξής επιβάλλεται </w:t>
      </w:r>
      <w:r>
        <w:rPr>
          <w:b/>
          <w:bCs/>
          <w:lang w:val="el" w:eastAsia="el"/>
        </w:rPr>
        <w:t xml:space="preserve">ένα (1) πρόστιμο των εκατό (100) ευρώ ανά έτος, </w:t>
      </w:r>
      <w:r>
        <w:rPr>
          <w:lang w:val="el" w:eastAsia="el"/>
        </w:rPr>
        <w:t xml:space="preserve">για κάθε εκπρόθεσμη υποβολή δήλωσης, καθώς η υποχρέωση υποβολής των καταστάσεων φορολογικών στοιχείων, για διασταύρωση πληροφοριών για τις ως άνω περιπτώσεις ορίστηκε </w:t>
      </w:r>
      <w:r>
        <w:rPr>
          <w:b/>
          <w:bCs/>
          <w:lang w:val="el" w:eastAsia="el"/>
        </w:rPr>
        <w:t>ετησίως</w:t>
      </w:r>
      <w:r>
        <w:rPr>
          <w:lang w:val="el" w:eastAsia="el"/>
        </w:rPr>
        <w:t>, σύμφωνα με την Απόφαση Διοικητή Α.Α.Δ.Ε. ΠΟΛ. 1217/29-11 2018.</w:t>
      </w:r>
    </w:p>
    <w:p>
      <w:pPr>
        <w:pStyle w:val="PreambelText"/>
        <w:spacing w:before="240" w:after="240"/>
        <w:rPr>
          <w:lang w:val="el" w:eastAsia="el"/>
        </w:rPr>
      </w:pPr>
      <w:r>
        <w:rPr>
          <w:lang w:val="el" w:eastAsia="el"/>
        </w:rPr>
        <w:t>6. Για διαπιστώσεις που ανάγονται στα ημερολογιακά έτη 2014 και επόμενα, σε περίπτωση που έχει εκδοθεί πράξη επιβολής προστίμου από τα αρμόδια όργανα της Φορολογικής Διοίκησης σε βάρος φορολογούμενου, η οποία αντίκειται στην παρούσα Οδηγία, για παραβάσεις των ανωτέρω περιπτώσεων, η πράξη επιβολής προστίμου δύναται να ακυρωθεί είτε κατόπιν αίτησης του φορολογούμενου στην φορολογική αρχή που εξέδωσε την πράξη είτε χωρίς αίτηση του φορολογούμενου από τον Προϊστάμενο της ως άνω αρχής, κατ΄ εφαρμογή των ειδικότερα οριζομένων στις παραγράφους 2 και 3 του άρθρου 63Β του ν.4174/2013 (ΚΦΔ), λόγω πρόδηλης έλλειψης φορολογικής υποχρέωσης.</w:t>
      </w:r>
    </w:p>
    <w:p>
      <w:pPr>
        <w:pStyle w:val="PreambelText"/>
        <w:spacing w:before="240" w:after="240"/>
        <w:rPr>
          <w:lang w:val="el" w:eastAsia="el"/>
        </w:rPr>
      </w:pPr>
      <w:r>
        <w:rPr>
          <w:lang w:val="el" w:eastAsia="el"/>
        </w:rPr>
        <w:t>Τέλος, στην περίπτωση που έχει ασκηθεί ενδικοφανής προσφυγή από το φορολογούμενο για τον παραπάνω λόγο, δεν έχουν εφαρμογή τα οριζόμενα με τις διατάξεις των παραγράφων 2 και 3 του άρθρου 63Β του ν.4174/2013.</w:t>
      </w:r>
    </w:p>
    <w:p>
      <w:pPr>
        <w:pStyle w:val="PreambelText"/>
        <w:spacing w:before="240" w:after="240"/>
        <w:rPr>
          <w:lang w:val="el" w:eastAsia="el"/>
        </w:rPr>
      </w:pPr>
      <w:r>
        <w:rPr>
          <w:lang w:val="el" w:eastAsia="el"/>
        </w:rPr>
        <w:t>Παρακαλούνται οι αποδέκτες της παρούσας για την ορθή τήρηση των ανωτέρω.</w:t>
      </w:r>
    </w:p>
    <w:p>
      <w:pPr>
        <w:pStyle w:val="PreambelText"/>
        <w:spacing w:before="240" w:after="240"/>
        <w:rPr>
          <w:lang w:val="el" w:eastAsia="el"/>
        </w:rPr>
      </w:pPr>
      <w:r>
        <w:rPr>
          <w:lang w:val="el" w:eastAsia="el"/>
        </w:rPr>
        <w:t>Συνημμένα : Ως κείμενο</w:t>
      </w:r>
    </w:p>
    <w:p>
      <w:pPr>
        <w:pStyle w:val="PreambelText"/>
        <w:spacing w:before="240" w:after="240"/>
        <w:rPr>
          <w:lang w:val="el" w:eastAsia="el"/>
        </w:rPr>
      </w:pPr>
      <w:r>
        <w:rPr>
          <w:lang w:val="el" w:eastAsia="el"/>
        </w:rPr>
        <w:t>Ο ΔΙΟΙΚΗΤΗΣ ΤΗΣ Α.Α.Δ.Ε.</w:t>
      </w:r>
    </w:p>
    <w:p>
      <w:pPr>
        <w:pStyle w:val="PreambelText"/>
        <w:spacing w:before="240" w:after="240"/>
        <w:rPr>
          <w:lang w:val="el" w:eastAsia="el"/>
        </w:rPr>
      </w:pPr>
      <w:r>
        <w:rPr>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 xml:space="preserve">Ι. </w:t>
      </w:r>
      <w:r>
        <w:rPr>
          <w:b/>
          <w:bCs/>
          <w:u w:val="single"/>
          <w:lang w:val="el" w:eastAsia="el"/>
        </w:rPr>
        <w:t>ΑΠΟΔΕΚΤΕΣ ΓΙΑ ΕΝΕΡΓΕΙΑ</w:t>
      </w:r>
    </w:p>
    <w:p>
      <w:pPr>
        <w:pStyle w:val="PreambelText"/>
        <w:spacing w:before="240" w:after="240"/>
        <w:rPr>
          <w:lang w:val="el" w:eastAsia="el"/>
        </w:rPr>
      </w:pPr>
      <w:r>
        <w:rPr>
          <w:lang w:val="el" w:eastAsia="el"/>
        </w:rPr>
        <w:t>1. Αποδέκτες πίνακα Γ’</w:t>
      </w:r>
    </w:p>
    <w:p>
      <w:pPr>
        <w:pStyle w:val="PreambelText"/>
        <w:spacing w:before="240" w:after="240"/>
        <w:rPr>
          <w:lang w:val="el" w:eastAsia="el"/>
        </w:rPr>
      </w:pPr>
      <w:r>
        <w:rPr>
          <w:lang w:val="el" w:eastAsia="el"/>
        </w:rPr>
        <w:t>2. ΔΙ.Σ.ΤΕ.ΠΛ. (για ανάρτηση στην ιστοσελίδα της Α.Α.Δ.Ε.)</w:t>
      </w:r>
    </w:p>
    <w:p>
      <w:pPr>
        <w:pStyle w:val="PreambelText"/>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PreambelText"/>
        <w:spacing w:before="240" w:after="240"/>
        <w:rPr>
          <w:lang w:val="el" w:eastAsia="el"/>
        </w:rPr>
      </w:pPr>
      <w:r>
        <w:rPr>
          <w:lang w:val="el" w:eastAsia="el"/>
        </w:rPr>
        <w:t>1. Αποδέκτες πίνακα Β’</w:t>
      </w:r>
    </w:p>
    <w:p>
      <w:pPr>
        <w:pStyle w:val="PreambelText"/>
        <w:spacing w:before="240" w:after="240"/>
        <w:rPr>
          <w:lang w:val="el" w:eastAsia="el"/>
        </w:rPr>
      </w:pPr>
      <w:r>
        <w:rPr>
          <w:b/>
          <w:bCs/>
          <w:lang w:val="el" w:eastAsia="el"/>
        </w:rPr>
        <w:t xml:space="preserve">ΙΙΙ. </w:t>
      </w:r>
      <w:r>
        <w:rPr>
          <w:b/>
          <w:bCs/>
          <w:u w:val="single"/>
          <w:lang w:val="el" w:eastAsia="el"/>
        </w:rPr>
        <w:t>ΕΣΩΤΕΡΙΚΗ ΔΙΑΝΟΜΗ</w:t>
      </w:r>
    </w:p>
    <w:p>
      <w:pPr>
        <w:pStyle w:val="PreambelText"/>
        <w:spacing w:before="240" w:after="240"/>
        <w:rPr>
          <w:lang w:val="el" w:eastAsia="el"/>
        </w:rPr>
      </w:pPr>
      <w:r>
        <w:rPr>
          <w:lang w:val="el" w:eastAsia="el"/>
        </w:rPr>
        <w:t>1. Γραφείο κ. Διοικητή Ανεξάρτητης Αρχής Δημοσίων Εσόδων</w:t>
      </w:r>
    </w:p>
    <w:p>
      <w:pPr>
        <w:pStyle w:val="PreambelText"/>
        <w:spacing w:before="240" w:after="240"/>
        <w:rPr>
          <w:lang w:val="el" w:eastAsia="el"/>
        </w:rPr>
      </w:pPr>
      <w:r>
        <w:rPr>
          <w:lang w:val="el" w:eastAsia="el"/>
        </w:rPr>
        <w:t>2. Προϊσταμένους των Γενικών Διευθύνσεων της Α.Α.Δ.Ε.</w:t>
      </w:r>
    </w:p>
    <w:p>
      <w:pPr>
        <w:pStyle w:val="PreambelText"/>
        <w:spacing w:before="240" w:after="240"/>
        <w:rPr>
          <w:lang w:val="el" w:eastAsia="el"/>
        </w:rPr>
      </w:pPr>
      <w:r>
        <w:rPr>
          <w:lang w:val="el" w:eastAsia="el"/>
        </w:rPr>
        <w:t>3. Δ/νση Νομικής Υποστήριξης</w:t>
      </w:r>
    </w:p>
    <w:p>
      <w:pPr>
        <w:pStyle w:val="PreambelText"/>
        <w:spacing w:before="240" w:after="240"/>
        <w:rPr>
          <w:lang w:val="el" w:eastAsia="el"/>
        </w:rPr>
      </w:pPr>
      <w:r>
        <w:rPr>
          <w:lang w:val="el" w:eastAsia="el"/>
        </w:rPr>
        <w:t>4. Διεύθυνση Ελέγχων</w:t>
      </w:r>
    </w:p>
    <w:p>
      <w:pPr>
        <w:pStyle w:val="Heading1"/>
        <w:spacing w:before="240" w:after="240"/>
        <w:rPr>
          <w:lang w:val="el" w:eastAsia="el"/>
        </w:rPr>
      </w:pPr>
      <w:r>
        <w:rPr>
          <w:rStyle w:val="hierarchy-num"/>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