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Heading1"/>
        <w:spacing w:before="240" w:after="240"/>
        <w:rPr>
          <w:lang w:val="el" w:eastAsia="el"/>
        </w:rPr>
      </w:pPr>
      <w:r>
        <w:rPr>
          <w:b/>
          <w:bCs/>
          <w:lang w:val="el" w:eastAsia="el"/>
        </w:rPr>
        <w:t xml:space="preserve">ΤΜΗΜΑ Α΄ </w:t>
      </w:r>
    </w:p>
    <w:p>
      <w:pPr>
        <w:pStyle w:val="Heading1"/>
        <w:spacing w:before="240" w:after="240"/>
        <w:rPr>
          <w:lang w:val="el" w:eastAsia="el"/>
        </w:rPr>
      </w:pPr>
      <w:r>
        <w:rPr>
          <w:b/>
          <w:bCs/>
          <w:lang w:val="el" w:eastAsia="el"/>
        </w:rPr>
        <w:t>Φ.Π.Α.</w:t>
      </w:r>
    </w:p>
    <w:p>
      <w:pPr>
        <w:spacing w:before="240" w:after="240"/>
        <w:rPr>
          <w:lang w:val="el" w:eastAsia="el"/>
        </w:rPr>
      </w:pPr>
      <w:r>
        <w:rPr>
          <w:lang w:val="el" w:eastAsia="el"/>
        </w:rPr>
        <w:t>Σίνα 2-4</w:t>
      </w:r>
    </w:p>
    <w:p>
      <w:pPr>
        <w:spacing w:before="240" w:after="240"/>
        <w:rPr>
          <w:lang w:val="el" w:eastAsia="el"/>
        </w:rPr>
      </w:pPr>
      <w:r>
        <w:rPr>
          <w:lang w:val="el" w:eastAsia="el"/>
        </w:rPr>
        <w:t>106 72 Αθήνα 213 2122400</w:t>
      </w:r>
    </w:p>
    <w:p>
      <w:pPr>
        <w:spacing w:before="240" w:after="240"/>
        <w:rPr>
          <w:lang w:val="el" w:eastAsia="el"/>
        </w:rPr>
      </w:pPr>
      <w:r>
        <w:rPr>
          <w:lang w:val="el" w:eastAsia="el"/>
        </w:rPr>
        <w:t>2103645413</w:t>
      </w:r>
    </w:p>
    <w:p>
      <w:pPr>
        <w:spacing w:before="240" w:after="240"/>
        <w:rPr>
          <w:lang w:val="el" w:eastAsia="el"/>
        </w:rPr>
      </w:pPr>
      <w:hyperlink r:id="rId4" w:history="1">
        <w:r>
          <w:rPr>
            <w:rStyle w:val="Hyperlink"/>
            <w:color w:val="0000EE"/>
            <w:u w:color="0000EE"/>
            <w:lang w:val="el" w:eastAsia="el"/>
          </w:rPr>
          <w:t>deef.a@ aade.gr</w:t>
        </w:r>
      </w:hyperlink>
    </w:p>
    <w:p>
      <w:pPr>
        <w:spacing w:before="240" w:after="240"/>
        <w:rPr>
          <w:lang w:val="el" w:eastAsia="el"/>
        </w:rPr>
      </w:pPr>
      <w:hyperlink r:id="rId5" w:history="1">
        <w:r>
          <w:rPr>
            <w:rStyle w:val="Hyperlink"/>
            <w:color w:val="0000EE"/>
            <w:u w:color="0000EE"/>
            <w:lang w:val="el" w:eastAsia="el"/>
          </w:rPr>
          <w:t>www.aade.gr</w:t>
        </w:r>
      </w:hyperlink>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 6ΨΘΦ46ΜΠ3Ζ-ΦΕΚ</w:t>
      </w:r>
    </w:p>
    <w:p>
      <w:pPr>
        <w:spacing w:before="240" w:after="240"/>
        <w:rPr>
          <w:lang w:val="el" w:eastAsia="el"/>
        </w:rPr>
      </w:pPr>
      <w:r>
        <w:rPr>
          <w:b/>
          <w:bCs/>
          <w:lang w:val="el" w:eastAsia="el"/>
        </w:rPr>
        <w:t>Αθήνα, 28.12.2020</w:t>
      </w:r>
    </w:p>
    <w:p>
      <w:pPr>
        <w:spacing w:before="240" w:after="240"/>
        <w:rPr>
          <w:lang w:val="el" w:eastAsia="el"/>
        </w:rPr>
      </w:pPr>
      <w:r>
        <w:rPr>
          <w:b/>
          <w:bCs/>
          <w:lang w:val="el" w:eastAsia="el"/>
        </w:rPr>
        <w:t>E.2001</w:t>
      </w:r>
    </w:p>
    <w:p>
      <w:pPr>
        <w:spacing w:before="240" w:after="240"/>
        <w:rPr>
          <w:lang w:val="el" w:eastAsia="el"/>
        </w:rPr>
      </w:pPr>
      <w:r>
        <w:rPr>
          <w:b/>
          <w:bCs/>
          <w:lang w:val="el" w:eastAsia="el"/>
        </w:rPr>
        <w:t>ΠΡΟΣ Ως προς τον πίνακα διανομής</w:t>
      </w:r>
    </w:p>
    <w:p>
      <w:pPr>
        <w:spacing w:before="240" w:after="240"/>
        <w:rPr>
          <w:lang w:val="el" w:eastAsia="el"/>
        </w:rPr>
      </w:pPr>
      <w:r>
        <w:rPr>
          <w:b/>
          <w:bCs/>
          <w:lang w:val="el" w:eastAsia="el"/>
        </w:rPr>
        <w:t>Θέμα: «Στατιστικά κατώφλια έτους 2021 για την υποβολή δήλωσης Intrastat»</w:t>
      </w:r>
    </w:p>
    <w:p>
      <w:pPr>
        <w:spacing w:before="240" w:after="240"/>
        <w:rPr>
          <w:lang w:val="el" w:eastAsia="el"/>
        </w:rPr>
      </w:pPr>
      <w:r>
        <w:rPr>
          <w:lang w:val="el" w:eastAsia="el"/>
        </w:rPr>
        <w:t xml:space="preserve">Σχετικά με το ανωτέρω θέμα σας γνωρίζουμε ότι, σύμφωνα με το αριθ. Πρωτ.8371/Β3-347/18.12.2020 έγγραφο της Ελληνικής Στατιστικής Αρχής προς την Υπηρεσία μας, </w:t>
      </w:r>
      <w:r>
        <w:rPr>
          <w:b/>
          <w:bCs/>
          <w:lang w:val="el" w:eastAsia="el"/>
        </w:rPr>
        <w:t>τα στατιστικά κατώφλια που ισχύουν από 1.1.2021 έως 31.12.2021</w:t>
      </w:r>
      <w:r>
        <w:rPr>
          <w:lang w:val="el" w:eastAsia="el"/>
        </w:rPr>
        <w:t>, πάνω από τα οποία οι επιχειρήσεις υποχρεούνται να υποβάλλουν δήλωση Intrastat, διαμορφώνονται ως εξής:</w:t>
      </w:r>
    </w:p>
    <w:p>
      <w:pPr>
        <w:pStyle w:val="StructureList1"/>
        <w:spacing w:before="120" w:after="0"/>
        <w:rPr>
          <w:lang w:val="el" w:eastAsia="el"/>
        </w:rPr>
      </w:pPr>
      <w:r>
        <w:rPr>
          <w:lang w:val="el" w:eastAsia="el"/>
        </w:rPr>
        <w:t>α)</w:t>
      </w:r>
      <w:r>
        <w:rPr>
          <w:lang w:val="en" w:eastAsia="en"/>
        </w:rPr>
        <w:tab/>
      </w:r>
      <w:r>
        <w:rPr>
          <w:b/>
          <w:bCs/>
          <w:lang w:val="el" w:eastAsia="el"/>
        </w:rPr>
        <w:t>Εκατόν πενήντα χιλιάδες ευρώ (150.000 €) για τις αφίξεις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Ενενήντα χιλιάδες ευρώ (90.000 €) για τις αποστολές.</w:t>
      </w:r>
    </w:p>
    <w:p>
      <w:pPr>
        <w:spacing w:before="240" w:after="240"/>
        <w:rPr>
          <w:lang w:val="el" w:eastAsia="el"/>
        </w:rPr>
      </w:pPr>
      <w:r>
        <w:rPr>
          <w:b/>
          <w:bCs/>
          <w:lang w:val="el" w:eastAsia="el"/>
        </w:rPr>
        <w:t>Επισημαίνεται ότι, σύμφωνα με το ανωτέρω έγγραφο, υπάρχει υποχρέωση υποβολής δήλωσης Intrastat για ενδοκοινοτικές συναλλαγές αγαθών που πραγματοποιούνται το έτος 2021 εφόσον, κατά το έτος 2020 οι συνολικές συναλλαγές ενδοκοινοτικών αφίξεων και αποστολών αγαθών υπερέβησαν τα ανωτέρω στατιστικά κατώφλια του έτους 2021, ή στην περίπτωση κατά την οποία οι συνολικές συναλλαγές ενδοκοινοτικών αφίξεων και αποστολών αγαθών που πραγματοποιούνται κατά το έτος 2021 υπερβούν τα κατώφλια αυτά.</w:t>
      </w:r>
    </w:p>
    <w:p>
      <w:pPr>
        <w:spacing w:before="240" w:after="240"/>
        <w:rPr>
          <w:lang w:val="el" w:eastAsia="el"/>
        </w:rPr>
      </w:pPr>
      <w:r>
        <w:rPr>
          <w:b/>
          <w:bCs/>
          <w:lang w:val="el" w:eastAsia="el"/>
        </w:rPr>
        <w:t>Ο ΔΙΟΙΚΗΤΗΣ ΤΗΣΑΝΕΞΑΡΤΗΤΗΣ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b/>
          <w:bCs/>
          <w:lang w:val="el" w:eastAsia="el"/>
        </w:rPr>
        <w:t>1. Αποδέκτες Πίνακα Γ΄, πλην των αριθμ. 1 και 2.</w:t>
      </w:r>
    </w:p>
    <w:p>
      <w:pPr>
        <w:spacing w:before="240" w:after="240"/>
        <w:rPr>
          <w:lang w:val="el" w:eastAsia="el"/>
        </w:rPr>
      </w:pPr>
      <w:r>
        <w:rPr>
          <w:b/>
          <w:bCs/>
          <w:lang w:val="el" w:eastAsia="el"/>
        </w:rPr>
        <w:t>2. Διεύθυνση Στρατηγικής Τεχνολογιών Πληροφορικής για ανάρτηση στην ιστοσελίδα της ΑΑΔΕ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1. Αποδέκτες Πίνακα Α΄ μόνο οι αριθ. 1 και 4.</w:t>
      </w:r>
    </w:p>
    <w:p>
      <w:pPr>
        <w:spacing w:before="240" w:after="240"/>
        <w:rPr>
          <w:lang w:val="el" w:eastAsia="el"/>
        </w:rPr>
      </w:pPr>
      <w:r>
        <w:rPr>
          <w:b/>
          <w:bCs/>
          <w:lang w:val="el" w:eastAsia="el"/>
        </w:rPr>
        <w:t>2. Αποδέκτες Πίνακα Β΄.</w:t>
      </w:r>
    </w:p>
    <w:p>
      <w:pPr>
        <w:spacing w:before="240" w:after="240"/>
        <w:rPr>
          <w:lang w:val="el" w:eastAsia="el"/>
        </w:rPr>
      </w:pPr>
      <w:r>
        <w:rPr>
          <w:b/>
          <w:bCs/>
          <w:lang w:val="el" w:eastAsia="el"/>
        </w:rPr>
        <w:t>3. Αποδέκτες Πίνακα Γ΄, μόνο οι αριθμ. 1 και 2.</w:t>
      </w:r>
    </w:p>
    <w:p>
      <w:pPr>
        <w:spacing w:before="240" w:after="240"/>
        <w:rPr>
          <w:lang w:val="el" w:eastAsia="el"/>
        </w:rPr>
      </w:pPr>
      <w:r>
        <w:rPr>
          <w:b/>
          <w:bCs/>
          <w:lang w:val="el" w:eastAsia="el"/>
        </w:rPr>
        <w:t>4. Αποδέκτες Πίνακα Δ΄.</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9"/>
        <w:gridCol w:w="434"/>
        <w:gridCol w:w="434"/>
        <w:gridCol w:w="399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μόνο οι αριθ. 10,17 και 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ΙΘ΄.</w:t>
            </w:r>
          </w:p>
        </w:tc>
      </w:tr>
    </w:tbl>
    <w:p>
      <w:pPr>
        <w:spacing w:before="240" w:after="240"/>
        <w:rPr>
          <w:lang w:val="el" w:eastAsia="el"/>
        </w:rPr>
      </w:pPr>
      <w:r>
        <w:rPr>
          <w:b/>
          <w:bCs/>
          <w:lang w:val="el" w:eastAsia="el"/>
        </w:rPr>
        <w:t>15. Γραφείο Υπουργού Οικονομικών κ. Χ. Σταικούρα</w:t>
      </w:r>
    </w:p>
    <w:p>
      <w:pPr>
        <w:spacing w:before="240" w:after="240"/>
        <w:rPr>
          <w:lang w:val="el" w:eastAsia="el"/>
        </w:rPr>
      </w:pPr>
      <w:r>
        <w:rPr>
          <w:b/>
          <w:bCs/>
          <w:lang w:val="el" w:eastAsia="el"/>
        </w:rPr>
        <w:t>16. Γραφείο Υφυπουργού Οικονομικών κ. Α. Βεσυρόπουλου</w:t>
      </w:r>
    </w:p>
    <w:p>
      <w:pPr>
        <w:spacing w:before="240" w:after="240"/>
        <w:rPr>
          <w:lang w:val="el" w:eastAsia="el"/>
        </w:rPr>
      </w:pPr>
      <w:r>
        <w:rPr>
          <w:b/>
          <w:bCs/>
          <w:lang w:val="el" w:eastAsia="el"/>
        </w:rPr>
        <w:t>17. Γραφείο Γεν. Γραμματέα Φορολογικής Πολιτικής και Δημ. Περιουσίας</w:t>
      </w:r>
    </w:p>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1. Γραφείο Διοικητή ΑΑΔΕ</w:t>
      </w:r>
    </w:p>
    <w:p>
      <w:pPr>
        <w:spacing w:before="240" w:after="240"/>
        <w:rPr>
          <w:lang w:val="el" w:eastAsia="el"/>
        </w:rPr>
      </w:pPr>
      <w:r>
        <w:rPr>
          <w:b/>
          <w:bCs/>
          <w:lang w:val="el" w:eastAsia="el"/>
        </w:rPr>
        <w:t>2. Γραφείο κ. κ. Γενικών Διευθυντών</w:t>
      </w:r>
    </w:p>
    <w:p>
      <w:pPr>
        <w:spacing w:before="240" w:after="240"/>
        <w:rPr>
          <w:lang w:val="el" w:eastAsia="el"/>
        </w:rPr>
      </w:pPr>
      <w:r>
        <w:rPr>
          <w:b/>
          <w:bCs/>
          <w:lang w:val="el" w:eastAsia="el"/>
        </w:rPr>
        <w:t>3. Δ/νση Νομικής Υποστήριξης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ef.a@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