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A. ΓΕΝΙΚΗ ΔΙΕΥΘΥΝΣΗ ΤΕΛΩΝΕΙΩΝ &amp; Ε.Φ.Κ.</w:t>
      </w:r>
    </w:p>
    <w:p>
      <w:pPr>
        <w:pStyle w:val="PreambelText"/>
        <w:spacing w:before="240" w:after="240"/>
        <w:rPr>
          <w:lang w:val="el" w:eastAsia="el"/>
        </w:rPr>
      </w:pPr>
      <w:r>
        <w:rPr>
          <w:b/>
          <w:bCs/>
          <w:lang w:val="el" w:eastAsia="el"/>
        </w:rPr>
        <w:t>1.ΔΙΕΥΘΥΝΣΗ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ΕΠΕΙΓΟΝ</w:t>
      </w:r>
    </w:p>
    <w:p>
      <w:pPr>
        <w:spacing w:before="240" w:after="240"/>
        <w:rPr>
          <w:lang w:val="el" w:eastAsia="el"/>
        </w:rPr>
      </w:pPr>
      <w:r>
        <w:rPr>
          <w:b/>
          <w:bCs/>
          <w:lang w:val="el" w:eastAsia="el"/>
        </w:rPr>
        <w:t>ΑΔΑ: ΨΚΩΔ46ΜΠ3Ζ-ΜΣΔ</w:t>
      </w:r>
    </w:p>
    <w:p>
      <w:pPr>
        <w:spacing w:before="240" w:after="240"/>
        <w:rPr>
          <w:lang w:val="el" w:eastAsia="el"/>
        </w:rPr>
      </w:pPr>
      <w:r>
        <w:rPr>
          <w:b/>
          <w:bCs/>
          <w:lang w:val="el" w:eastAsia="el"/>
        </w:rPr>
        <w:t>Αθήνα, 30 Δεκεμβρίου 2020</w:t>
      </w:r>
    </w:p>
    <w:p>
      <w:pPr>
        <w:spacing w:before="240" w:after="240"/>
        <w:rPr>
          <w:lang w:val="el" w:eastAsia="el"/>
        </w:rPr>
      </w:pPr>
      <w:r>
        <w:rPr>
          <w:b/>
          <w:bCs/>
          <w:lang w:val="el" w:eastAsia="el"/>
        </w:rPr>
        <w:t>Αριθ. Πρωτ.:E.2002</w:t>
      </w:r>
    </w:p>
    <w:p>
      <w:pPr>
        <w:spacing w:before="240" w:after="240"/>
        <w:rPr>
          <w:lang w:val="el" w:eastAsia="el"/>
        </w:rPr>
      </w:pPr>
      <w:r>
        <w:rPr>
          <w:lang w:val="el" w:eastAsia="el"/>
        </w:rPr>
        <w:t xml:space="preserve">2. </w:t>
      </w:r>
      <w:r>
        <w:rPr>
          <w:b/>
          <w:bCs/>
          <w:lang w:val="el" w:eastAsia="el"/>
        </w:rPr>
        <w:t>ΔΙΕΥΘΥΝΣΗ ΔΑΣΜΟΛΟΓΙΚΩΝ ΘΕΜΑΤΩΝ, ΕΙΔΙΚΩΝ</w:t>
      </w:r>
    </w:p>
    <w:p>
      <w:pPr>
        <w:spacing w:before="240" w:after="240"/>
        <w:rPr>
          <w:lang w:val="el" w:eastAsia="el"/>
        </w:rPr>
      </w:pPr>
      <w:r>
        <w:rPr>
          <w:b/>
          <w:bCs/>
          <w:lang w:val="el" w:eastAsia="el"/>
        </w:rPr>
        <w:t>ΚΑΘΕΣΤΩΤΩΝ &amp; ΑΠΑΛΛΑΓΩΝ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B. ΓΕΝΙΚΗ ΔΙΕΥΘΥΝΣΗ ΦΟΡΟΛΟΓΙΚΗΣ ΠΟΛΙΤΙΚΗΣ ΔΙΕΥΘΥΝΣΗ ΕΦΑΡΜΟΓΗΣ ΕΜΜΕΣΗΣ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Μ.Κουνάβη, Αικ.Μελανίτου 210.6987448,407,484 210.69.87.408</w:t>
      </w:r>
    </w:p>
    <w:p>
      <w:pPr>
        <w:spacing w:before="240" w:after="240"/>
        <w:rPr>
          <w:lang w:val="el" w:eastAsia="el"/>
        </w:rPr>
      </w:pPr>
      <w:hyperlink r:id="rId4" w:history="1">
        <w:r>
          <w:rPr>
            <w:rStyle w:val="Hyperlink"/>
            <w:color w:val="0000EE"/>
            <w:u w:color="0000EE"/>
            <w:lang w:val="el" w:eastAsia="el"/>
          </w:rPr>
          <w:t>finexcis@otenet.gr</w:t>
        </w:r>
      </w:hyperlink>
    </w:p>
    <w:p>
      <w:pPr>
        <w:spacing w:before="240" w:after="240"/>
        <w:rPr>
          <w:lang w:val="el" w:eastAsia="el"/>
        </w:rPr>
      </w:pPr>
      <w:r>
        <w:rPr>
          <w:b/>
          <w:bCs/>
          <w:u w:val="single"/>
          <w:lang w:val="el" w:eastAsia="el"/>
        </w:rPr>
        <w:t>ΘΕΜΑ</w:t>
      </w:r>
      <w:r>
        <w:rPr>
          <w:b/>
          <w:bCs/>
          <w:lang w:val="el" w:eastAsia="el"/>
        </w:rPr>
        <w:t>: «Κοινοποίηση διατάξεων του άρθρου 73 του ν. 4764/2020 (Α΄256) αναφορικά με την εφαρμογή μηδενικού συντελεστή Φ.Π.Α. στα εμβόλια και στα invitro διαγνωστικά ιατροτεχνολογικά προϊόντα για τη νόσο COVID-19 καθώς και στις υπηρεσίες που συνδέονται στενά με τα εν λόγω αγαθά –Ενσωμάτωση Οδηγίας (ΕΕ) 2020/2020 του Συμβουλίου»</w:t>
      </w:r>
    </w:p>
    <w:p>
      <w:pPr>
        <w:spacing w:before="240" w:after="240"/>
        <w:rPr>
          <w:lang w:val="el" w:eastAsia="el"/>
        </w:rPr>
      </w:pPr>
      <w:r>
        <w:rPr>
          <w:lang w:val="el" w:eastAsia="el"/>
        </w:rPr>
        <w:t>Με την παρούσα, κοινοποιούμε για ενημέρωση και εφαρμογή το άρθρο 73 του ν.4764/2020 (Α’ 256) , με τις διατάξεις του οποίου προστίθεται παράγραφος 1Α στο άρθρο 21 του Κώδικα Φ.Π.Α. (κυρ. με ν.2859/2000 (Α΄ 248), με την οποία προβλέπεται εφαρμογή μηδενικού συντελεστή Φ.Π.Α. στα εμβόλια και στα invitro διαγνωστικά ιατροτεχνολογικά προϊόντα για τη νόσο COVID-19.</w:t>
      </w:r>
    </w:p>
    <w:p>
      <w:pPr>
        <w:spacing w:before="240" w:after="240"/>
        <w:rPr>
          <w:lang w:val="el" w:eastAsia="el"/>
        </w:rPr>
      </w:pPr>
      <w:r>
        <w:rPr>
          <w:lang w:val="el" w:eastAsia="el"/>
        </w:rPr>
        <w:t>Οι ως άνω διατάξεις αποτελούν ενσωμάτωση του άρθρου 129α της Οδηγίας (ΕΕ)2020/2020 του Συμβουλίου και αποσκοπούν στην καταπολέμηση της πανδημίας και την ανακοπή της διασποράς του ιού με τη μείωση του κόστους αγοράς των εν λόγω αγαθών, διευκολύνοντας με τον τρόπο αυτό την πρόσβαση σε αυτά των φορέων υγείας και του γενικότερου πληθυσμού της χώρας.</w:t>
      </w:r>
    </w:p>
    <w:p>
      <w:pPr>
        <w:spacing w:before="240" w:after="240"/>
        <w:rPr>
          <w:lang w:val="el" w:eastAsia="el"/>
        </w:rPr>
      </w:pPr>
      <w:r>
        <w:rPr>
          <w:lang w:val="el" w:eastAsia="el"/>
        </w:rPr>
        <w:t>Ειδικότερα διευκρινίζονται τα ακόλουθα:</w:t>
      </w:r>
    </w:p>
    <w:p>
      <w:pPr>
        <w:spacing w:before="240" w:after="240"/>
        <w:rPr>
          <w:lang w:val="el" w:eastAsia="el"/>
        </w:rPr>
      </w:pPr>
      <w:r>
        <w:rPr>
          <w:lang w:val="el" w:eastAsia="el"/>
        </w:rPr>
        <w:t xml:space="preserve">1. Με τις διατάξεις της </w:t>
      </w:r>
      <w:r>
        <w:rPr>
          <w:b/>
          <w:bCs/>
          <w:lang w:val="el" w:eastAsia="el"/>
        </w:rPr>
        <w:t>παραγράφου 1 του άρθρου 73 του ν. 4764/2020</w:t>
      </w:r>
      <w:r>
        <w:rPr>
          <w:lang w:val="el" w:eastAsia="el"/>
        </w:rPr>
        <w:t xml:space="preserve">, με τις οποίες </w:t>
      </w:r>
      <w:r>
        <w:rPr>
          <w:b/>
          <w:bCs/>
          <w:lang w:val="el" w:eastAsia="el"/>
        </w:rPr>
        <w:t>προστίθεται μετά την παράγραφο 1 του άρθρου 21 του ν.2859/2000 παράγραφος 1Α</w:t>
      </w:r>
      <w:r>
        <w:rPr>
          <w:lang w:val="el" w:eastAsia="el"/>
        </w:rPr>
        <w:t xml:space="preserve">, προβλέπεται ότι ο συντελεστής του Φ.Π.Α. ορίζεται </w:t>
      </w:r>
      <w:r>
        <w:rPr>
          <w:u w:val="single"/>
          <w:lang w:val="el" w:eastAsia="el"/>
        </w:rPr>
        <w:t xml:space="preserve">σε μηδέν τοις εκατό (0%) α) </w:t>
      </w:r>
      <w:r>
        <w:rPr>
          <w:lang w:val="el" w:eastAsia="el"/>
        </w:rPr>
        <w:t>για τα εμβόλια κατά της νόσου COVID-19 που έχουν εγκριθεί από την Ευρωπαϊκή Επιτροπή ή από τα κράτη μέλη της Ε.Ε. και για τα invitro διαγνωστικά ιατροτεχνολογικά προϊόντα της νόσου COVID-19 που συμμορφώνονται με τις ισχύουσες απαιτήσεις της Οδηγίας 98/79/ΕΚ (L331) του Ευρωπαϊκού Κοινοβουλίου και του Συμβουλίου ή του Κανονισμού (ΕΕ)2017/746( L 117) του Ευρωπαϊκού Κοινοβουλίου και του Συμβουλίου και με τη λοιπή ισχύουσα ενωσιακή νομοθεσία καθώς και β) για τις υπηρεσίες που συνδέονται στενά με τα εν λόγω αγαθά.</w:t>
      </w:r>
    </w:p>
    <w:p>
      <w:pPr>
        <w:spacing w:before="240" w:after="240"/>
        <w:rPr>
          <w:lang w:val="el" w:eastAsia="el"/>
        </w:rPr>
      </w:pPr>
      <w:r>
        <w:rPr>
          <w:lang w:val="el" w:eastAsia="el"/>
        </w:rPr>
        <w:t>2. Σε ό,τι αφορά τις δασμολογικές κλάσεις των αγαθών που υπάγονται στο μηδενικό συντελεστή Φ.Π.Α. παρατίθεται συνημμένα «Παράρτημα» με ενδεικτικό κατάλογο προϊόντων συνοδευόμενα από την αντίστοιχη δασμολογική κλάση.</w:t>
      </w:r>
    </w:p>
    <w:p>
      <w:pPr>
        <w:spacing w:before="240" w:after="240"/>
        <w:rPr>
          <w:lang w:val="el" w:eastAsia="el"/>
        </w:rPr>
      </w:pPr>
      <w:r>
        <w:rPr>
          <w:lang w:val="el" w:eastAsia="el"/>
        </w:rPr>
        <w:t xml:space="preserve">Επισημαίνεται ότι η δασμολογική κατάταξη των αγαθών πραγματοποιείται </w:t>
      </w:r>
      <w:r>
        <w:rPr>
          <w:b/>
          <w:bCs/>
          <w:u w:val="single"/>
          <w:lang w:val="el" w:eastAsia="el"/>
        </w:rPr>
        <w:t>αποκλειστικά</w:t>
      </w:r>
      <w:r>
        <w:rPr>
          <w:b/>
          <w:bCs/>
          <w:lang w:val="el" w:eastAsia="el"/>
        </w:rPr>
        <w:t>με βάση τα προβλεπόμενα στο Κοινό Δασμολόγιο της Ευρ. Ένωσης [Κανονισμός (ΕΟΚ) 2658/87, όπως τροποποιήθηκε και ισχύει, τους Γενικούς Κανόνες ερμηνείας αυτού καθώς και με τις Επεξηγηματικές Σημειώσεις της Συνδυασμένης Ονοματολογίας (Σ.Ο.) και του Παγκόσμιου Οργανισμού Τελωνείων (Π.Ο.Τ.).</w:t>
      </w:r>
    </w:p>
    <w:p>
      <w:pPr>
        <w:spacing w:before="240" w:after="240"/>
        <w:rPr>
          <w:lang w:val="el" w:eastAsia="el"/>
        </w:rPr>
      </w:pPr>
      <w:r>
        <w:rPr>
          <w:b/>
          <w:bCs/>
          <w:lang w:val="el" w:eastAsia="el"/>
        </w:rPr>
        <w:t>3. Η εφαρμογή μηδενικού συντελεστή για τα εμβόλια κατά της νόσου COVID- 19, που έχουν εγκριθεί από την Ευρωπαϊκή Επιτροπή ή από τα κράτη - μέλη της Ε.Ε. , για τα invitro διαγνωστικά ιατροτεχνολογικά προϊόντα της νόσου COVID-19, και τις υπηρεσίες που συνδέονται στενά με τα αγαθά αυτά δεν στερεί το δικαίωμα έκπτωσης του Φ.Π.Α. που καταβλήθηκε κατά το προηγούμενο στάδιο για τα αγαθά και τις υπηρεσίες αυτές.</w:t>
      </w:r>
    </w:p>
    <w:p>
      <w:pPr>
        <w:spacing w:before="240" w:after="240"/>
        <w:rPr>
          <w:lang w:val="el" w:eastAsia="el"/>
        </w:rPr>
      </w:pPr>
      <w:r>
        <w:rPr>
          <w:b/>
          <w:bCs/>
          <w:lang w:val="el" w:eastAsia="el"/>
        </w:rPr>
        <w:t xml:space="preserve">4. Οι ως άνω διατάξεις εφαρμόζονται από τις 23/12/2020 και, σύμφωνα με τις διατάξεις της </w:t>
      </w:r>
      <w:r>
        <w:rPr>
          <w:b/>
          <w:bCs/>
          <w:lang w:val="el" w:eastAsia="el"/>
        </w:rPr>
        <w:t xml:space="preserve">παραγράφου 2 του άρθρου 73 </w:t>
      </w:r>
      <w:r>
        <w:rPr>
          <w:b/>
          <w:bCs/>
          <w:lang w:val="el" w:eastAsia="el"/>
        </w:rPr>
        <w:t xml:space="preserve">του ίδιου νόμου, μέχρι και τις </w:t>
      </w:r>
      <w:r>
        <w:rPr>
          <w:b/>
          <w:bCs/>
          <w:lang w:val="el" w:eastAsia="el"/>
        </w:rPr>
        <w:t>31/12/2022</w:t>
      </w:r>
      <w:r>
        <w:rPr>
          <w:b/>
          <w:bCs/>
          <w:lang w:val="el" w:eastAsia="el"/>
        </w:rPr>
        <w:t>.</w:t>
      </w:r>
    </w:p>
    <w:p>
      <w:pPr>
        <w:spacing w:before="240" w:after="240"/>
        <w:rPr>
          <w:lang w:val="el" w:eastAsia="el"/>
        </w:rPr>
      </w:pPr>
      <w:r>
        <w:rPr>
          <w:b/>
          <w:bCs/>
          <w:lang w:val="el" w:eastAsia="el"/>
        </w:rPr>
        <w:t>Συνημμένα: Το άρθρο 73 του ν. 4764/2020, όπως δημοσιεύθηκε στο ΦΕΚ 256 Α’/23-12-2020.</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Αποδέκτες Πίνακα Δ΄</w:t>
      </w:r>
    </w:p>
    <w:p>
      <w:pPr>
        <w:spacing w:before="240" w:after="240"/>
        <w:rPr>
          <w:lang w:val="el" w:eastAsia="el"/>
        </w:rPr>
      </w:pPr>
      <w:r>
        <w:rPr>
          <w:b/>
          <w:bCs/>
          <w:lang w:val="el" w:eastAsia="el"/>
        </w:rPr>
        <w:t>3. 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81"/>
        <w:gridCol w:w="39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(Φορολογική Επιθεώρηση)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bl>
    <w:p>
      <w:pPr>
        <w:spacing w:before="240" w:after="240"/>
        <w:rPr>
          <w:lang w:val="el" w:eastAsia="el"/>
        </w:rPr>
      </w:pPr>
      <w:r>
        <w:rPr>
          <w:b/>
          <w:bCs/>
          <w:lang w:val="el" w:eastAsia="el"/>
        </w:rPr>
        <w:t>7. Γραφείο Υπουργού Οικονομικών</w:t>
      </w:r>
    </w:p>
    <w:p>
      <w:pPr>
        <w:spacing w:before="240" w:after="240"/>
        <w:rPr>
          <w:lang w:val="el" w:eastAsia="el"/>
        </w:rPr>
      </w:pPr>
      <w:r>
        <w:rPr>
          <w:b/>
          <w:bCs/>
          <w:lang w:val="el" w:eastAsia="el"/>
        </w:rPr>
        <w:t>8. Γραφείο Υφυπουργού Οικονομικών</w:t>
      </w:r>
    </w:p>
    <w:p>
      <w:pPr>
        <w:spacing w:before="240" w:after="240"/>
        <w:rPr>
          <w:lang w:val="el" w:eastAsia="el"/>
        </w:rPr>
      </w:pPr>
      <w:r>
        <w:rPr>
          <w:b/>
          <w:bCs/>
          <w:lang w:val="el" w:eastAsia="el"/>
        </w:rPr>
        <w:t>9. Διεύθυνση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Γραφείο κ. κ. Γενικών Διευθυντών</w:t>
      </w:r>
    </w:p>
    <w:p>
      <w:pPr>
        <w:spacing w:before="240" w:after="240"/>
        <w:rPr>
          <w:lang w:val="el" w:eastAsia="el"/>
        </w:rPr>
      </w:pPr>
      <w:r>
        <w:rPr>
          <w:b/>
          <w:bCs/>
          <w:lang w:val="el" w:eastAsia="el"/>
        </w:rPr>
        <w:t>3. ΔΕΕΦ – ΤΜΗΜΑ Α΄</w:t>
      </w:r>
    </w:p>
    <w:p>
      <w:pPr>
        <w:spacing w:before="240" w:after="240"/>
        <w:rPr>
          <w:lang w:val="el" w:eastAsia="el"/>
        </w:rPr>
      </w:pPr>
      <w:r>
        <w:rPr>
          <w:b/>
          <w:bCs/>
          <w:lang w:val="el" w:eastAsia="el"/>
        </w:rPr>
        <w:t>4. ΔΔΘΕΚΑ- ΤΜΗΜΑ Α’</w:t>
      </w:r>
    </w:p>
    <w:p>
      <w:pPr>
        <w:spacing w:before="240" w:after="240"/>
        <w:rPr>
          <w:lang w:val="el" w:eastAsia="el"/>
        </w:rPr>
      </w:pPr>
      <w:r>
        <w:rPr>
          <w:b/>
          <w:bCs/>
          <w:lang w:val="el" w:eastAsia="el"/>
        </w:rPr>
        <w:t>5. Δ/ΝΣΗ Ε.Φ.Κ και Φ.Π.Α – ΤΜΗΜΑ Ε΄</w:t>
      </w:r>
    </w:p>
    <w:p>
      <w:pPr>
        <w:spacing w:before="240" w:after="240"/>
        <w:rPr>
          <w:lang w:val="el" w:eastAsia="el"/>
        </w:rPr>
      </w:pPr>
      <w:r>
        <w:rPr>
          <w:b/>
          <w:bCs/>
          <w:lang w:val="el" w:eastAsia="el"/>
        </w:rPr>
        <w:t>ΠΑΡΑΡΤΗΜΑ, Ως προς τη δασμολογική κατάταξη</w:t>
      </w:r>
    </w:p>
    <w:p>
      <w:pPr>
        <w:spacing w:before="240" w:after="240"/>
        <w:rPr>
          <w:lang w:val="el" w:eastAsia="el"/>
        </w:rPr>
      </w:pPr>
      <w:r>
        <w:rPr>
          <w:b/>
          <w:bCs/>
          <w:lang w:val="el" w:eastAsia="el"/>
        </w:rPr>
        <w:t xml:space="preserve">Ειδικότερα, η δασμολογική κατάταξη και </w:t>
      </w:r>
      <w:r>
        <w:rPr>
          <w:b/>
          <w:bCs/>
          <w:u w:val="single"/>
          <w:lang w:val="el" w:eastAsia="el"/>
        </w:rPr>
        <w:t>ενδεικτικά παραδείγματα</w:t>
      </w:r>
      <w:r>
        <w:rPr>
          <w:b/>
          <w:bCs/>
          <w:lang w:val="el" w:eastAsia="el"/>
        </w:rPr>
        <w:t xml:space="preserve">των υπό εξέταση ειδών (εμβόλια και </w:t>
      </w:r>
      <w:r>
        <w:rPr>
          <w:b/>
          <w:bCs/>
          <w:u w:val="single"/>
          <w:lang w:val="el" w:eastAsia="el"/>
        </w:rPr>
        <w:t>invitro</w:t>
      </w:r>
      <w:r>
        <w:rPr>
          <w:b/>
          <w:bCs/>
          <w:lang w:val="el" w:eastAsia="el"/>
        </w:rPr>
        <w:t xml:space="preserve">διαγνωστικά ιατροτεχνολογικά προϊόντα </w:t>
      </w:r>
      <w:r>
        <w:rPr>
          <w:b/>
          <w:bCs/>
          <w:lang w:val="el" w:eastAsia="el"/>
        </w:rPr>
        <w:t>κατά της νόσου COVID-19</w:t>
      </w:r>
      <w:r>
        <w:rPr>
          <w:b/>
          <w:bCs/>
          <w:lang w:val="el" w:eastAsia="el"/>
        </w:rPr>
        <w:t>) έχουν ως ακολούθως:</w:t>
      </w:r>
    </w:p>
    <w:p>
      <w:pPr>
        <w:spacing w:before="240" w:after="240"/>
        <w:rPr>
          <w:lang w:val="el" w:eastAsia="el"/>
        </w:rPr>
      </w:pPr>
      <w:r>
        <w:rPr>
          <w:b/>
          <w:bCs/>
          <w:lang w:val="el" w:eastAsia="el"/>
        </w:rPr>
        <w:t>1) Εμβόλια κατά των σχετιζόμενων με το SARS κορονοϊών (είδος SARS-CoV) (</w:t>
      </w:r>
      <w:r>
        <w:rPr>
          <w:b/>
          <w:bCs/>
          <w:lang w:val="el" w:eastAsia="el"/>
        </w:rPr>
        <w:t>Κωδικός Σ.Ο. 3002 20 00</w:t>
      </w:r>
      <w:r>
        <w:rPr>
          <w:b/>
          <w:bCs/>
          <w:lang w:val="el" w:eastAsia="el"/>
        </w:rPr>
        <w:t xml:space="preserve">, ο οποίος από 1/1/2021 εξειδικεύεται σε </w:t>
      </w:r>
      <w:r>
        <w:rPr>
          <w:b/>
          <w:bCs/>
          <w:lang w:val="el" w:eastAsia="el"/>
        </w:rPr>
        <w:t>3002 20 10</w:t>
      </w:r>
      <w:r>
        <w:rPr>
          <w:b/>
          <w:bCs/>
          <w:lang w:val="el" w:eastAsia="el"/>
        </w:rPr>
        <w:t>).</w:t>
      </w:r>
    </w:p>
    <w:p>
      <w:pPr>
        <w:spacing w:before="240" w:after="240"/>
        <w:rPr>
          <w:lang w:val="el" w:eastAsia="el"/>
        </w:rPr>
      </w:pPr>
      <w:r>
        <w:rPr>
          <w:b/>
          <w:bCs/>
          <w:lang w:val="el" w:eastAsia="el"/>
        </w:rPr>
        <w:t>2) Μεμονωμένοι στυλεοί δειγματοληψίας (</w:t>
      </w:r>
      <w:r>
        <w:rPr>
          <w:b/>
          <w:bCs/>
          <w:lang w:val="el" w:eastAsia="el"/>
        </w:rPr>
        <w:t>κλάση 3005</w:t>
      </w:r>
      <w:r>
        <w:rPr>
          <w:b/>
          <w:bCs/>
          <w:lang w:val="el" w:eastAsia="el"/>
        </w:rPr>
        <w:t>)</w:t>
      </w:r>
    </w:p>
    <w:p>
      <w:pPr>
        <w:spacing w:before="240" w:after="240"/>
        <w:rPr>
          <w:lang w:val="el" w:eastAsia="el"/>
        </w:rPr>
      </w:pPr>
      <w:r>
        <w:rPr>
          <w:b/>
          <w:bCs/>
          <w:lang w:val="el" w:eastAsia="el"/>
        </w:rPr>
        <w:t>3) Σωληνάρια υποδοχής στυλεού με υλικό μεταφοράς (</w:t>
      </w:r>
      <w:r>
        <w:rPr>
          <w:b/>
          <w:bCs/>
          <w:lang w:val="el" w:eastAsia="el"/>
        </w:rPr>
        <w:t>κλάση 3821</w:t>
      </w:r>
      <w:r>
        <w:rPr>
          <w:b/>
          <w:bCs/>
          <w:lang w:val="el" w:eastAsia="el"/>
        </w:rPr>
        <w:t>)</w:t>
      </w:r>
    </w:p>
    <w:p>
      <w:pPr>
        <w:spacing w:before="240" w:after="240"/>
        <w:rPr>
          <w:lang w:val="el" w:eastAsia="el"/>
        </w:rPr>
      </w:pPr>
      <w:r>
        <w:rPr>
          <w:b/>
          <w:bCs/>
          <w:lang w:val="el" w:eastAsia="el"/>
        </w:rPr>
        <w:t>4) Σετ δειγματοληψίας (συσκευασία που συνδυάζει τα 2 και 3 παραπάνω) (</w:t>
      </w:r>
      <w:r>
        <w:rPr>
          <w:b/>
          <w:bCs/>
          <w:lang w:val="el" w:eastAsia="el"/>
        </w:rPr>
        <w:t>κλάση 3821</w:t>
      </w:r>
      <w:r>
        <w:rPr>
          <w:b/>
          <w:bCs/>
          <w:lang w:val="el" w:eastAsia="el"/>
        </w:rPr>
        <w:t>)</w:t>
      </w:r>
    </w:p>
    <w:p>
      <w:pPr>
        <w:spacing w:before="240" w:after="240"/>
        <w:rPr>
          <w:lang w:val="el" w:eastAsia="el"/>
        </w:rPr>
      </w:pPr>
      <w:r>
        <w:rPr>
          <w:b/>
          <w:bCs/>
          <w:lang w:val="el" w:eastAsia="el"/>
        </w:rPr>
        <w:t>5) Μεμονωμένα σωληνάρια δειγματοληψίας για έλεγχο COVID-19 (</w:t>
      </w:r>
      <w:r>
        <w:rPr>
          <w:b/>
          <w:bCs/>
          <w:lang w:val="el" w:eastAsia="el"/>
        </w:rPr>
        <w:t>κλάσεις 3923</w:t>
      </w:r>
      <w:r>
        <w:rPr>
          <w:b/>
          <w:bCs/>
          <w:lang w:val="el" w:eastAsia="el"/>
        </w:rPr>
        <w:t xml:space="preserve">, </w:t>
      </w:r>
      <w:r>
        <w:rPr>
          <w:b/>
          <w:bCs/>
          <w:lang w:val="el" w:eastAsia="el"/>
        </w:rPr>
        <w:t xml:space="preserve">3926 </w:t>
      </w:r>
      <w:r>
        <w:rPr>
          <w:b/>
          <w:bCs/>
          <w:lang w:val="el" w:eastAsia="el"/>
        </w:rPr>
        <w:t xml:space="preserve">και </w:t>
      </w:r>
      <w:r>
        <w:rPr>
          <w:b/>
          <w:bCs/>
          <w:lang w:val="el" w:eastAsia="el"/>
        </w:rPr>
        <w:t>7010</w:t>
      </w:r>
      <w:r>
        <w:rPr>
          <w:b/>
          <w:bCs/>
          <w:lang w:val="el" w:eastAsia="el"/>
        </w:rPr>
        <w:t>, ανάλογα με την ύλη τους).</w:t>
      </w:r>
    </w:p>
    <w:p>
      <w:pPr>
        <w:spacing w:before="240" w:after="240"/>
        <w:rPr>
          <w:lang w:val="el" w:eastAsia="el"/>
        </w:rPr>
      </w:pPr>
      <w:r>
        <w:rPr>
          <w:b/>
          <w:bCs/>
          <w:lang w:val="el" w:eastAsia="el"/>
        </w:rPr>
        <w:t>6) Αντιδραστήρια PCR για COVID-19 (</w:t>
      </w:r>
      <w:r>
        <w:rPr>
          <w:b/>
          <w:bCs/>
          <w:lang w:val="el" w:eastAsia="el"/>
        </w:rPr>
        <w:t>κλάση 3822</w:t>
      </w:r>
      <w:r>
        <w:rPr>
          <w:b/>
          <w:bCs/>
          <w:lang w:val="el" w:eastAsia="el"/>
        </w:rPr>
        <w:t>)</w:t>
      </w:r>
    </w:p>
    <w:p>
      <w:pPr>
        <w:spacing w:before="240" w:after="240"/>
        <w:rPr>
          <w:lang w:val="el" w:eastAsia="el"/>
        </w:rPr>
      </w:pPr>
      <w:r>
        <w:rPr>
          <w:b/>
          <w:bCs/>
          <w:lang w:val="el" w:eastAsia="el"/>
        </w:rPr>
        <w:t>7) Αντιδραστήρια Extraction (απομόνωσης) RNA για PCR προσδιορισμό COVID-19 (</w:t>
      </w:r>
      <w:r>
        <w:rPr>
          <w:b/>
          <w:bCs/>
          <w:lang w:val="el" w:eastAsia="el"/>
        </w:rPr>
        <w:t>κλάση 3822</w:t>
      </w:r>
      <w:r>
        <w:rPr>
          <w:b/>
          <w:bCs/>
          <w:lang w:val="el" w:eastAsia="el"/>
        </w:rPr>
        <w:t>)</w:t>
      </w:r>
    </w:p>
    <w:p>
      <w:pPr>
        <w:spacing w:before="240" w:after="240"/>
        <w:rPr>
          <w:lang w:val="el" w:eastAsia="el"/>
        </w:rPr>
      </w:pPr>
      <w:r>
        <w:rPr>
          <w:b/>
          <w:bCs/>
          <w:lang w:val="el" w:eastAsia="el"/>
        </w:rPr>
        <w:t>8) Αντιδραστήρια για ταχύ προσδιορισμό αντισωμάτων ("rapid αντισώματα") (</w:t>
      </w:r>
      <w:r>
        <w:rPr>
          <w:b/>
          <w:bCs/>
          <w:lang w:val="el" w:eastAsia="el"/>
        </w:rPr>
        <w:t>κλάση 3822</w:t>
      </w:r>
      <w:r>
        <w:rPr>
          <w:b/>
          <w:bCs/>
          <w:lang w:val="el" w:eastAsia="el"/>
        </w:rPr>
        <w:t>)</w:t>
      </w:r>
    </w:p>
    <w:p>
      <w:pPr>
        <w:spacing w:before="240" w:after="240"/>
        <w:rPr>
          <w:lang w:val="el" w:eastAsia="el"/>
        </w:rPr>
      </w:pPr>
      <w:r>
        <w:rPr>
          <w:b/>
          <w:bCs/>
          <w:lang w:val="el" w:eastAsia="el"/>
        </w:rPr>
        <w:t>9) Αντιδραστήρια για ταχύ προσδιορισμό αντιγόνων ("rapid αντιγόνα") (</w:t>
      </w:r>
      <w:r>
        <w:rPr>
          <w:b/>
          <w:bCs/>
          <w:lang w:val="el" w:eastAsia="el"/>
        </w:rPr>
        <w:t>κλάση 3822</w:t>
      </w:r>
      <w:r>
        <w:rPr>
          <w:b/>
          <w:bCs/>
          <w:lang w:val="el" w:eastAsia="el"/>
        </w:rPr>
        <w:t>)</w:t>
      </w:r>
    </w:p>
    <w:p>
      <w:pPr>
        <w:spacing w:before="240" w:after="240"/>
        <w:rPr>
          <w:lang w:val="el" w:eastAsia="el"/>
        </w:rPr>
      </w:pPr>
      <w:r>
        <w:rPr>
          <w:b/>
          <w:bCs/>
          <w:lang w:val="el" w:eastAsia="el"/>
        </w:rPr>
        <w:t>10) Αντιδραστήρια για εργαστηριακό προσδιορισμό αντισωμάτων σε αναλυτές (ELISA ή χημειοφωταύγεια) (</w:t>
      </w:r>
      <w:r>
        <w:rPr>
          <w:b/>
          <w:bCs/>
          <w:lang w:val="el" w:eastAsia="el"/>
        </w:rPr>
        <w:t>κλάση 3822</w:t>
      </w:r>
      <w:r>
        <w:rPr>
          <w:b/>
          <w:bCs/>
          <w:lang w:val="el" w:eastAsia="el"/>
        </w:rPr>
        <w:t>)</w:t>
      </w:r>
    </w:p>
    <w:p>
      <w:pPr>
        <w:spacing w:before="240" w:after="240"/>
        <w:rPr>
          <w:lang w:val="el" w:eastAsia="el"/>
        </w:rPr>
      </w:pPr>
      <w:r>
        <w:rPr>
          <w:b/>
          <w:bCs/>
          <w:lang w:val="el" w:eastAsia="el"/>
        </w:rPr>
        <w:t>11) Αντιδραστήρια για εργαστηριακό προσδιορισμό αντιγόνων σε αναλυτές (ELISA ή χημειοφωταύγεια) (</w:t>
      </w:r>
      <w:r>
        <w:rPr>
          <w:b/>
          <w:bCs/>
          <w:lang w:val="el" w:eastAsia="el"/>
        </w:rPr>
        <w:t>κλάση 3822</w:t>
      </w:r>
      <w:r>
        <w:rPr>
          <w:b/>
          <w:bCs/>
          <w:lang w:val="el" w:eastAsia="el"/>
        </w:rPr>
        <w:t>)</w:t>
      </w:r>
    </w:p>
    <w:p>
      <w:pPr>
        <w:spacing w:before="240" w:after="240"/>
        <w:rPr>
          <w:lang w:val="el" w:eastAsia="el"/>
        </w:rPr>
      </w:pPr>
      <w:r>
        <w:rPr>
          <w:b/>
          <w:bCs/>
          <w:lang w:val="el" w:eastAsia="el"/>
        </w:rPr>
        <w:t>12) Πιστοποιημένα υλικά αναφοράς (controls, calibrators), που χρησιμοποιούνται για τη βαθμονόμηση μιας συσκευής, την αξιολόγηση μιας μεθόδου μέτρησης ή την εκχώρηση τιμών σε ένα υλικό (</w:t>
      </w:r>
      <w:r>
        <w:rPr>
          <w:b/>
          <w:bCs/>
          <w:lang w:val="el" w:eastAsia="el"/>
        </w:rPr>
        <w:t>κλάση 3822</w:t>
      </w:r>
      <w:r>
        <w:rPr>
          <w:b/>
          <w:bCs/>
          <w:lang w:val="el" w:eastAsia="el"/>
        </w:rPr>
        <w:t>).</w:t>
      </w:r>
    </w:p>
    <w:p>
      <w:pPr>
        <w:spacing w:before="240" w:after="240"/>
        <w:rPr>
          <w:lang w:val="el" w:eastAsia="el"/>
        </w:rPr>
      </w:pPr>
      <w:r>
        <w:rPr>
          <w:b/>
          <w:bCs/>
          <w:lang w:val="el" w:eastAsia="el"/>
        </w:rPr>
        <w:t>13) Αναλυτές (μηχανήματα) που χρησιμοποιούνται για την εκτέλεση διαγνωστικών εξετάσεων COVID-19 και την εξαγωγή αποτελεσμάτων, όπως Extractors (αναλυτές απομόνωσης DNA/RNA), κυκλοποιητές PCR, κλειστές συσκευές PCR (POC PCR), αυτόματοι ανοσολογικοί αναλυτές που εκτελούν εξετάσεις COVID-19, αυτόματοι αναλυτές ELISA, ρομποτικά συστήματα αυτοματοποίησης PCR για COVID-19 (</w:t>
      </w:r>
      <w:r>
        <w:rPr>
          <w:b/>
          <w:bCs/>
          <w:lang w:val="el" w:eastAsia="el"/>
        </w:rPr>
        <w:t>κλάση 9027</w:t>
      </w:r>
      <w:r>
        <w:rPr>
          <w:b/>
          <w:bCs/>
          <w:lang w:val="el" w:eastAsia="el"/>
        </w:rPr>
        <w:t>).</w:t>
      </w:r>
    </w:p>
    <w:p>
      <w:pPr>
        <w:spacing w:before="240" w:after="240"/>
        <w:rPr>
          <w:lang w:val="el" w:eastAsia="el"/>
        </w:rPr>
      </w:pPr>
      <w:r>
        <w:rPr>
          <w:b/>
          <w:bCs/>
          <w:lang w:val="el" w:eastAsia="el"/>
        </w:rPr>
        <w:t>14) Όργανα και συσκευές ιατρικής που δύναται να χρησιμοποιηθούν στα πλαίσια invitro διάγνωσης κατά της νόσου COVID-19 (</w:t>
      </w:r>
      <w:r>
        <w:rPr>
          <w:b/>
          <w:bCs/>
          <w:lang w:val="el" w:eastAsia="el"/>
        </w:rPr>
        <w:t>κλάση 9018</w:t>
      </w:r>
      <w:r>
        <w:rPr>
          <w:b/>
          <w:bCs/>
          <w:lang w:val="el" w:eastAsia="el"/>
        </w:rPr>
        <w:t>)</w:t>
      </w:r>
    </w:p>
    <w:p>
      <w:pPr>
        <w:spacing w:before="240" w:after="240"/>
        <w:rPr>
          <w:lang w:val="el" w:eastAsia="el"/>
        </w:rPr>
      </w:pPr>
      <w:r>
        <w:rPr>
          <w:b/>
          <w:bCs/>
          <w:lang w:val="el" w:eastAsia="el"/>
        </w:rPr>
        <w:t>15) Λογισμικό που δύναται να χρησιμοποιηθεί στα πλαίσια invitro διάγνωσης σε αναλυτές, όργανα και συσκευές ιατρικής κατά της νόσου COVID-19 (</w:t>
      </w:r>
      <w:r>
        <w:rPr>
          <w:b/>
          <w:bCs/>
          <w:lang w:val="el" w:eastAsia="el"/>
        </w:rPr>
        <w:t>κλάση 8523</w:t>
      </w:r>
      <w:r>
        <w:rPr>
          <w:b/>
          <w:bCs/>
          <w:lang w:val="el" w:eastAsia="el"/>
        </w:rPr>
        <w: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