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 3638389,</w:t>
      </w:r>
    </w:p>
    <w:p>
      <w:pPr>
        <w:spacing w:before="240" w:after="240"/>
        <w:rPr>
          <w:lang w:val="el" w:eastAsia="el"/>
        </w:rPr>
      </w:pPr>
      <w:r>
        <w:rPr>
          <w:lang w:val="el" w:eastAsia="el"/>
        </w:rPr>
        <w:t>: 210 3627090</w:t>
      </w:r>
    </w:p>
    <w:p>
      <w:pPr>
        <w:spacing w:before="240" w:after="240"/>
        <w:rPr>
          <w:lang w:val="el" w:eastAsia="el"/>
        </w:rPr>
      </w:pPr>
      <w:r>
        <w:rPr>
          <w:lang w:val="el" w:eastAsia="el"/>
        </w:rPr>
        <w:t>: 2132113142</w:t>
      </w:r>
    </w:p>
    <w:p>
      <w:pPr>
        <w:spacing w:before="240" w:after="240"/>
        <w:rPr>
          <w:lang w:val="el" w:eastAsia="el"/>
        </w:rPr>
      </w:pPr>
      <w:r>
        <w:rPr>
          <w:lang w:val="el" w:eastAsia="el"/>
        </w:rPr>
        <w:t xml:space="preserve">: </w:t>
      </w:r>
      <w:hyperlink r:id="rId4" w:history="1">
        <w:r>
          <w:rPr>
            <w:rStyle w:val="Hyperlink"/>
            <w:color w:val="0000EE"/>
            <w:u w:color="0000EE"/>
            <w:lang w:val="el" w:eastAsia="el"/>
          </w:rPr>
          <w:t>d.eleg01@aade.gr</w:t>
        </w:r>
      </w:hyperlink>
    </w:p>
    <w:p>
      <w:pPr>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των άρθρων 77 και 78 του ν.4764/2020 (Α΄256)».</w:t>
      </w:r>
    </w:p>
    <w:p>
      <w:pPr>
        <w:spacing w:before="240" w:after="240"/>
        <w:rPr>
          <w:lang w:val="el" w:eastAsia="el"/>
        </w:rPr>
      </w:pPr>
      <w:r>
        <w:rPr>
          <w:lang w:val="el" w:eastAsia="el"/>
        </w:rPr>
        <w:t>Κοινοποιούνται οι διατάξεις των άρθρων 77 και 78 του κεφαλαίου Α΄ «Φορολογικές Ρυθμίσεις» του μέρους Β΄ του ν.4764/2020 (Α΄256)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για ενημέρωση και ομοιόμορφη εφαρμογή αυτών.</w:t>
      </w:r>
    </w:p>
    <w:p>
      <w:pPr>
        <w:spacing w:before="240" w:after="240"/>
        <w:rPr>
          <w:lang w:val="el" w:eastAsia="el"/>
        </w:rPr>
      </w:pPr>
      <w:r>
        <w:rPr>
          <w:lang w:val="el" w:eastAsia="el"/>
        </w:rPr>
        <w:t>Συγκεκριμένα:</w:t>
      </w:r>
    </w:p>
    <w:p>
      <w:pPr>
        <w:spacing w:before="240" w:after="240"/>
        <w:rPr>
          <w:lang w:val="el" w:eastAsia="el"/>
        </w:rPr>
      </w:pPr>
      <w:r>
        <w:rPr>
          <w:lang w:val="el" w:eastAsia="el"/>
        </w:rPr>
        <w:t>1. Με τις διατάξεις του άρθρου 77 «</w:t>
      </w:r>
      <w:r>
        <w:rPr>
          <w:i/>
          <w:iCs/>
          <w:lang w:val="el" w:eastAsia="el"/>
        </w:rPr>
        <w:t>Απόσυρση ταμειακών μηχανών –Φ.Η.Μ.</w:t>
      </w:r>
      <w:r>
        <w:rPr>
          <w:lang w:val="el" w:eastAsia="el"/>
        </w:rPr>
        <w:t>», αντικαταστάθηκε η παρ. 9 του άρθρου 101 του ν. 4714/2020 (Α’ 148) και παρατείνεται ο χρόνος απόσυρσης από τη χρήση των μοντέλων Φ.Η.Μ. που εμφανίζονται ως ενεργοί στο υποσύστημα taxis, όπως αυτά ορίζονται στην απόφαση του Διοικητή της Α.Α.Δ.Ε. ΠΟΛ. 1196/2017 (Β΄4486), χωρίς την επιβολή κυρώσεων έως και τις 31.3.2021. Τα ανωτέρω ισχύουν και για δηλώσεις παύσης των υπόψη μοντέλων που έχουν υποβληθεί μέχρι και την έναρξη ισχύος του νόμου αυτού, ήτοι 23.12.2020, σύμφωνα με το άρθρο 192 αυτού.</w:t>
      </w:r>
    </w:p>
    <w:p>
      <w:pPr>
        <w:spacing w:before="240" w:after="240"/>
        <w:rPr>
          <w:lang w:val="el" w:eastAsia="el"/>
        </w:rPr>
      </w:pPr>
      <w:r>
        <w:rPr>
          <w:lang w:val="el" w:eastAsia="el"/>
        </w:rPr>
        <w:t xml:space="preserve">2. Με τις διατάξεις του άρθρου 78 </w:t>
      </w:r>
      <w:r>
        <w:rPr>
          <w:i/>
          <w:iCs/>
          <w:lang w:val="el" w:eastAsia="el"/>
        </w:rPr>
        <w:t>« Καταστάσεις φορολογικών στοιχείων για διασταύρωση πληροφοριών (Μ.Υ.Φ.)», προστέθηκε</w:t>
      </w:r>
      <w:r>
        <w:rPr>
          <w:lang w:val="el" w:eastAsia="el"/>
        </w:rPr>
        <w:t xml:space="preserve"> στο τέλος του άρθρου 72 του ν.4174/2013 (Α΄170) παρ. 56 με την οποία ρυθμίζονται θέματα υποβολής καταστάσεων φορολογικών στοιχείων για διασταύρωση πληροφοριών για το ημερολογιακό έτος 2014.</w:t>
      </w:r>
    </w:p>
    <w:p>
      <w:pPr>
        <w:spacing w:before="240" w:after="240"/>
        <w:rPr>
          <w:lang w:val="el" w:eastAsia="el"/>
        </w:rPr>
      </w:pPr>
      <w:r>
        <w:rPr>
          <w:lang w:val="el" w:eastAsia="el"/>
        </w:rPr>
        <w:t>Σύμφωνα με τη νέα διάταξη, οι καταστάσεις που υπεβλήθησαν το χρονικό διάστημα από 21.1.2016 έως και 25.1.2016 θεωρούνται ως εμπρόθεσμες και τυχόν πρόστιμα που έχουν επιβληθεί για το υπόψη χρονικό διάστημα (από 21.1.2016 έως και 25.1.2016) ακυρώνονται ή εφόσον τα ποσά των προστίμων έχουν εισπραχθεί, συμψηφίζονται με βεβαιωμένες οφειλές. Στην περίπτωση που δεν υπάρχουν οφειλές, επιστρέφονται.</w:t>
      </w:r>
    </w:p>
    <w:p>
      <w:pPr>
        <w:spacing w:before="240" w:after="240"/>
        <w:rPr>
          <w:lang w:val="el" w:eastAsia="el"/>
        </w:rPr>
      </w:pPr>
      <w:r>
        <w:rPr>
          <w:b/>
          <w:bCs/>
          <w:lang w:val="el" w:eastAsia="el"/>
        </w:rPr>
        <w:t xml:space="preserve">Συνημμένα: </w:t>
      </w:r>
      <w:r>
        <w:rPr>
          <w:lang w:val="el" w:eastAsia="el"/>
        </w:rPr>
        <w:t>Απόσπασμα του ΦΕΚ Α΄256 (άρθρα 77 και 78 του ν.4764/2020)</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Β’</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w:t>
      </w:r>
    </w:p>
    <w:p>
      <w:pPr>
        <w:pStyle w:val="Heading1"/>
        <w:spacing w:before="240" w:after="240"/>
        <w:rPr>
          <w:lang w:val="el" w:eastAsia="el"/>
        </w:rPr>
      </w:pPr>
      <w:r>
        <w:rPr>
          <w:rStyle w:val="hierarchy-num"/>
          <w:lang w:val="el" w:eastAsia="el"/>
        </w:rPr>
        <w:t>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