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 ΕΠΕΙΓΟΝ</w:t>
      </w:r>
    </w:p>
    <w:p>
      <w:pPr>
        <w:pStyle w:val="PreambelText"/>
        <w:spacing w:before="240" w:after="240"/>
        <w:rPr>
          <w:lang w:val="el" w:eastAsia="el"/>
        </w:rPr>
      </w:pPr>
      <w:r>
        <w:rPr>
          <w:b/>
          <w:bCs/>
          <w:lang w:val="el" w:eastAsia="el"/>
        </w:rPr>
        <w:t>ΑΔΑ:ΨΜ6346ΜΠ3Ζ-ΟΑΗ</w:t>
      </w:r>
    </w:p>
    <w:p>
      <w:pPr>
        <w:pStyle w:val="PreambelText"/>
        <w:spacing w:before="240" w:after="240"/>
        <w:rPr>
          <w:lang w:val="el" w:eastAsia="el"/>
        </w:rPr>
      </w:pPr>
      <w:r>
        <w:rPr>
          <w:b/>
          <w:bCs/>
          <w:lang w:val="el" w:eastAsia="el"/>
        </w:rPr>
        <w:t>Αθήνα, 26 Ιανουαρίου 2021</w:t>
      </w:r>
    </w:p>
    <w:p>
      <w:pPr>
        <w:pStyle w:val="PreambelText"/>
        <w:spacing w:before="240" w:after="240"/>
        <w:rPr>
          <w:lang w:val="el" w:eastAsia="el"/>
        </w:rPr>
      </w:pPr>
      <w:r>
        <w:rPr>
          <w:b/>
          <w:bCs/>
          <w:lang w:val="el" w:eastAsia="el"/>
        </w:rPr>
        <w:t>Αριθ. Πρωτ.:Ε.2024</w:t>
      </w:r>
    </w:p>
    <w:p>
      <w:pPr>
        <w:pStyle w:val="PreambelText"/>
        <w:spacing w:before="240" w:after="240"/>
        <w:rPr>
          <w:lang w:val="el" w:eastAsia="el"/>
        </w:rPr>
      </w:pPr>
      <w:r>
        <w:rPr>
          <w:b/>
          <w:bCs/>
          <w:lang w:val="el" w:eastAsia="el"/>
        </w:rPr>
        <w:t>2.ΔΙΕΥΘΥΝΣΗ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Αικ.Μελανίτου, Α.Χρονά 210.69.87.407,505</w:t>
      </w:r>
    </w:p>
    <w:p>
      <w:pPr>
        <w:spacing w:before="240" w:after="240"/>
        <w:rPr>
          <w:lang w:val="el" w:eastAsia="el"/>
        </w:rPr>
      </w:pPr>
      <w:hyperlink r:id="rId4" w:history="1">
        <w:r>
          <w:rPr>
            <w:rStyle w:val="Hyperlink"/>
            <w:color w:val="0000EE"/>
            <w:u w:color="0000EE"/>
            <w:lang w:val="el" w:eastAsia="el"/>
          </w:rPr>
          <w:t>finexciis@aade.grr</w:t>
        </w:r>
      </w:hyperlink>
    </w:p>
    <w:p>
      <w:pPr>
        <w:spacing w:before="240" w:after="240"/>
        <w:rPr>
          <w:lang w:val="el" w:eastAsia="el"/>
        </w:rPr>
      </w:pPr>
      <w:hyperlink r:id="rId5" w:history="1">
        <w:r>
          <w:rPr>
            <w:rStyle w:val="Hyperlink"/>
            <w:color w:val="0000EE"/>
            <w:u w:color="0000EE"/>
            <w:lang w:val="el" w:eastAsia="el"/>
          </w:rPr>
          <w:t>ddtheka@aade.grr</w:t>
        </w:r>
      </w:hyperlink>
    </w:p>
    <w:p>
      <w:pPr>
        <w:spacing w:before="240" w:after="240"/>
        <w:rPr>
          <w:lang w:val="el" w:eastAsia="el"/>
        </w:rPr>
      </w:pPr>
      <w:r>
        <w:rPr>
          <w:b/>
          <w:bCs/>
          <w:u w:val="single"/>
          <w:lang w:val="el" w:eastAsia="el"/>
        </w:rPr>
        <w:t>ΘΕΜΑ</w:t>
      </w:r>
      <w:r>
        <w:rPr>
          <w:b/>
          <w:bCs/>
          <w:lang w:val="el" w:eastAsia="el"/>
        </w:rPr>
        <w:t>: "Κοινοποίηση της αρ. πρωτ. Α. 1281/16.12.2020 Απόφασης Διοικητή Α.Α.Δ.Ε. αναφορικά με τις δασμοφορολογικές απαλλαγές των αλκοολούχων ποτών και καπνικών προϊόντων που παραλαμβάνει ο Ευρωπαϊκός Οργανισμός Ασφάλειας Δικτύων και Πληροφοριών (ENISA), Ευρωπαϊκός Οργανισμός Κυβερνοασφάλειας (ENISA)"</w:t>
      </w:r>
    </w:p>
    <w:p>
      <w:pPr>
        <w:spacing w:before="240" w:after="240"/>
        <w:rPr>
          <w:lang w:val="el" w:eastAsia="el"/>
        </w:rPr>
      </w:pPr>
      <w:r>
        <w:rPr>
          <w:b/>
          <w:bCs/>
          <w:lang w:val="el" w:eastAsia="el"/>
        </w:rPr>
        <w:t>Σχετ.: Η αρ. πρωτ. Ε.2203/23.12.2019 εγκύκλιος διαταγή Διοικητή Α.Α.Δ.Ε. κοινοποίησης του ν.4627/2019 (ΦΕΚ 143/Α΄)</w:t>
      </w:r>
    </w:p>
    <w:p>
      <w:pPr>
        <w:spacing w:before="240" w:after="240"/>
        <w:rPr>
          <w:lang w:val="el" w:eastAsia="el"/>
        </w:rPr>
      </w:pPr>
      <w:r>
        <w:rPr>
          <w:lang w:val="el" w:eastAsia="el"/>
        </w:rPr>
        <w:t>Κοινοποιούμε για ενημέρωση και εφαρμογή την αρ. πρωτ. Α.1281/16.12.2020 Απόφαση Διοικητή Α.Α.Δ.Ε. που δημοσιεύθηκε στο αρ. 5942 ΦΕΚ Τεύχος Β΄/31.12.2020 (ΑΔΑ: ΨΡ4246ΜΠ3Ζ-Ζ9Γ), η οποία εκδόθηκε κατ΄εξουσιοδότηση των άρθρων 8 παρ. 3 και 12 παρ. 1 περ. (xiv)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εφεξής «Οργανισμός» και κυρώθηκε με το ν. 4627/2019 (ΦΕΚ 143/Α).</w:t>
      </w:r>
    </w:p>
    <w:p>
      <w:pPr>
        <w:spacing w:before="240" w:after="240"/>
        <w:rPr>
          <w:lang w:val="el" w:eastAsia="el"/>
        </w:rPr>
      </w:pPr>
      <w:r>
        <w:rPr>
          <w:lang w:val="el" w:eastAsia="el"/>
        </w:rPr>
        <w:t xml:space="preserve">Ειδικότερα, με τις διατάξεις του </w:t>
      </w:r>
      <w:r>
        <w:rPr>
          <w:b/>
          <w:bCs/>
          <w:lang w:val="el" w:eastAsia="el"/>
        </w:rPr>
        <w:t xml:space="preserve">άρθρου 1 </w:t>
      </w:r>
      <w:r>
        <w:rPr>
          <w:lang w:val="el" w:eastAsia="el"/>
        </w:rPr>
        <w:t xml:space="preserve">ορίζεται το πεδίο εφαρμογής της απόφασης και συγκεκριμένα ότι εφαρμόζεται για την </w:t>
      </w:r>
      <w:r>
        <w:rPr>
          <w:b/>
          <w:bCs/>
          <w:lang w:val="el" w:eastAsia="el"/>
        </w:rPr>
        <w:t xml:space="preserve">παραλαβή αλκοολούχων ποτών και καπνικών προϊόντων με απαλλαγή από το δασμό, τον Ε.Φ.Κ. και το Φ.Π.Α. στα πλαίσια της Συμφωνίας Έδρας </w:t>
      </w:r>
      <w:r>
        <w:rPr>
          <w:lang w:val="el" w:eastAsia="el"/>
        </w:rPr>
        <w:t>που έχει συνάψει ο Οργανισμός με την χώρα μας: α) από τον ίδιο τον Οργανισμό για υπηρεσιακή χρήση και β) από το Τακτικό Προσωπικό αυτού για την προσωπική χρήση των μελών του.</w:t>
      </w:r>
    </w:p>
    <w:p>
      <w:pPr>
        <w:spacing w:before="240" w:after="240"/>
        <w:rPr>
          <w:lang w:val="el" w:eastAsia="el"/>
        </w:rPr>
      </w:pPr>
      <w:r>
        <w:rPr>
          <w:lang w:val="el" w:eastAsia="el"/>
        </w:rPr>
        <w:t xml:space="preserve">Με τις διατάξεις του </w:t>
      </w:r>
      <w:r>
        <w:rPr>
          <w:b/>
          <w:bCs/>
          <w:lang w:val="el" w:eastAsia="el"/>
        </w:rPr>
        <w:t xml:space="preserve">άρθρου 2 </w:t>
      </w:r>
      <w:r>
        <w:rPr>
          <w:lang w:val="el" w:eastAsia="el"/>
        </w:rPr>
        <w:t xml:space="preserve">ορίζονται ως </w:t>
      </w:r>
      <w:r>
        <w:rPr>
          <w:b/>
          <w:bCs/>
          <w:lang w:val="el" w:eastAsia="el"/>
        </w:rPr>
        <w:t xml:space="preserve">πρόσωπα </w:t>
      </w:r>
      <w:r>
        <w:rPr>
          <w:lang w:val="el" w:eastAsia="el"/>
        </w:rPr>
        <w:t>που δικαιούνται να παραλαμβάνουν τα εν λόγω προϊόντα με απαλλαγή από τις δασμοφορολογικές επιβαρύνσεις: α) ο Οργανισμός (προοίμιο Συμφωνίας Έδρας) και β) το Τακτικό Προσωπικό του Οργανισμού (άρθρο 1 παρ.3α της Συμφωνίας Έδρας ).</w:t>
      </w:r>
    </w:p>
    <w:p>
      <w:pPr>
        <w:spacing w:before="240" w:after="240"/>
        <w:rPr>
          <w:lang w:val="el" w:eastAsia="el"/>
        </w:rPr>
      </w:pPr>
      <w:r>
        <w:rPr>
          <w:lang w:val="el" w:eastAsia="el"/>
        </w:rPr>
        <w:t xml:space="preserve">Με τις διατάξεις του </w:t>
      </w:r>
      <w:r>
        <w:rPr>
          <w:b/>
          <w:bCs/>
          <w:lang w:val="el" w:eastAsia="el"/>
        </w:rPr>
        <w:t xml:space="preserve">άρθρου 3 </w:t>
      </w:r>
      <w:r>
        <w:rPr>
          <w:lang w:val="el" w:eastAsia="el"/>
        </w:rPr>
        <w:t xml:space="preserve">ορίζεται συγκεκριμένα το </w:t>
      </w:r>
      <w:r>
        <w:rPr>
          <w:b/>
          <w:bCs/>
          <w:lang w:val="el" w:eastAsia="el"/>
        </w:rPr>
        <w:t xml:space="preserve">ανώτατο όριο των ποσοτήτων των αλκοολούχων (οινοπνευματώδη ποτά, οίνοι, μπύρες) και καπνικών προϊόντων (τσιγάρα, πούρα, καπνός) που δύνανται να παραλαμβάνουν τα δικαιούχα πρόσωπα. </w:t>
      </w:r>
      <w:r>
        <w:rPr>
          <w:lang w:val="el" w:eastAsia="el"/>
        </w:rPr>
        <w:t xml:space="preserve">Οι ποσότητες χορηγούνται ανά ημερολογιακό έτος, το οποίο νοείται από την 1η Ιανουαρίου έως 31 Δεκεμβρίου κάθε έτους. Επισημαίνεται ότι οι δικαιούμενες ποσότητες αφορούν το συγκεκριμένο έτος και σε περίπτωση μη παραλαβής τους εντός του έτους αυτού δεν δύναται να μεταφερθούν σε επόμενο έτος. Ειδικότερα, τα μέλη του Τακτικού Προσωπικού δύνανται να παραλαμβάνουν ποσότητες προϊόντων με απαλλαγή από τις δασμοφορολογικές επιβαρύνσεις μόνο κατά το διάστημα που διαρκεί η </w:t>
      </w:r>
      <w:r>
        <w:rPr>
          <w:u w:val="single"/>
          <w:lang w:val="el" w:eastAsia="el"/>
        </w:rPr>
        <w:t>πρώτη θητεία τους στη χώρα μας, με έναρξη παραλαβής από το μήνα ανάληψης των καθηκόντων τους.</w:t>
      </w:r>
    </w:p>
    <w:p>
      <w:pPr>
        <w:spacing w:before="240" w:after="240"/>
        <w:rPr>
          <w:lang w:val="el" w:eastAsia="el"/>
        </w:rPr>
      </w:pPr>
      <w:r>
        <w:rPr>
          <w:lang w:val="el" w:eastAsia="el"/>
        </w:rPr>
        <w:t xml:space="preserve">Με τις διατάξεις του </w:t>
      </w:r>
      <w:r>
        <w:rPr>
          <w:b/>
          <w:bCs/>
          <w:lang w:val="el" w:eastAsia="el"/>
        </w:rPr>
        <w:t xml:space="preserve">άρθρου 4 </w:t>
      </w:r>
      <w:r>
        <w:rPr>
          <w:lang w:val="el" w:eastAsia="el"/>
        </w:rPr>
        <w:t>ορίζονται η διαδικασία και τα δικαιολογητικά που υποβάλλονται στην τελωνειακή αρχή από τα δικαιούχα πρόσωπα για την παραλαβή των αλκοολούχων και καπνικών προϊόντων με απαλλαγή από τις δασμοφορολογικές επιβαρύνσεις. Τα δικαιολογητικά συνυποβάλλονται με το κατά περίπτωση τελωνειακό παραστατικό (ΔΕΦΚ ή ΕΔΕ) ηλεκτρονικά σύμφωνα με τις αριθ. πρωτ. Α. 1437/2019 (ΦΕΚ Β΄ 4443) και ΔΤΔ Α 1184721ΕΞ2016/2016 (ΦΕΚ Β΄4488) Αποφάσεις Διοικητή Α.Α.Δ.Ε. και Γ.Γ.Δ.Ε. αντίστοιχα, όπως ισχύουν.</w:t>
      </w:r>
    </w:p>
    <w:p>
      <w:pPr>
        <w:spacing w:before="240" w:after="240"/>
        <w:rPr>
          <w:lang w:val="el" w:eastAsia="el"/>
        </w:rPr>
      </w:pPr>
      <w:r>
        <w:rPr>
          <w:lang w:val="el" w:eastAsia="el"/>
        </w:rPr>
        <w:t>Σημειώνεται ότι, στα υποβαλλόμενα τελωνειακά παραστατικά θα συμπληρώνονται οι ακόλουθοι Κωδικοί Επισυναπτομένων:</w:t>
      </w:r>
    </w:p>
    <w:p>
      <w:pPr>
        <w:spacing w:before="240" w:after="240"/>
        <w:rPr>
          <w:lang w:val="el" w:eastAsia="el"/>
        </w:rPr>
      </w:pPr>
      <w:r>
        <w:rPr>
          <w:lang w:val="el" w:eastAsia="el"/>
        </w:rPr>
        <w:t xml:space="preserve">α. </w:t>
      </w:r>
      <w:r>
        <w:rPr>
          <w:b/>
          <w:bCs/>
          <w:lang w:val="el" w:eastAsia="el"/>
        </w:rPr>
        <w:t xml:space="preserve">1E81 </w:t>
      </w:r>
      <w:r>
        <w:rPr>
          <w:lang w:val="el" w:eastAsia="el"/>
        </w:rPr>
        <w:t xml:space="preserve">για τη </w:t>
      </w:r>
      <w:r>
        <w:rPr>
          <w:b/>
          <w:bCs/>
          <w:lang w:val="el" w:eastAsia="el"/>
        </w:rPr>
        <w:t xml:space="preserve">ΔΕΦΚ </w:t>
      </w:r>
      <w:r>
        <w:rPr>
          <w:lang w:val="el" w:eastAsia="el"/>
        </w:rPr>
        <w:t xml:space="preserve">και </w:t>
      </w:r>
      <w:r>
        <w:rPr>
          <w:b/>
          <w:bCs/>
          <w:lang w:val="el" w:eastAsia="el"/>
        </w:rPr>
        <w:t xml:space="preserve">1776 </w:t>
      </w:r>
      <w:r>
        <w:rPr>
          <w:lang w:val="el" w:eastAsia="el"/>
        </w:rPr>
        <w:t xml:space="preserve">για το </w:t>
      </w:r>
      <w:r>
        <w:rPr>
          <w:b/>
          <w:bCs/>
          <w:lang w:val="el" w:eastAsia="el"/>
        </w:rPr>
        <w:t>ΕΔΕ</w:t>
      </w:r>
    </w:p>
    <w:p>
      <w:pPr>
        <w:spacing w:before="240" w:after="240"/>
        <w:rPr>
          <w:lang w:val="el" w:eastAsia="el"/>
        </w:rPr>
      </w:pPr>
      <w:r>
        <w:rPr>
          <w:lang w:val="el" w:eastAsia="el"/>
        </w:rPr>
        <w:t>Περιγραφή: «Βεβαίωση του Διεθνούς/Ευρωπαϊκού Οργανισμού (Μέλος Τακτικού Προσωπικού του Οργανισμού /Ημερομηνία Ανάληψης καθηκόντων/Διάρκεια Πρώτης Θητείας)»</w:t>
      </w:r>
    </w:p>
    <w:p>
      <w:pPr>
        <w:spacing w:before="240" w:after="240"/>
        <w:rPr>
          <w:lang w:val="el" w:eastAsia="el"/>
        </w:rPr>
      </w:pPr>
      <w:r>
        <w:rPr>
          <w:lang w:val="el" w:eastAsia="el"/>
        </w:rPr>
        <w:t xml:space="preserve">β. </w:t>
      </w:r>
      <w:r>
        <w:rPr>
          <w:b/>
          <w:bCs/>
          <w:lang w:val="el" w:eastAsia="el"/>
        </w:rPr>
        <w:t xml:space="preserve">1E82 </w:t>
      </w:r>
      <w:r>
        <w:rPr>
          <w:lang w:val="el" w:eastAsia="el"/>
        </w:rPr>
        <w:t xml:space="preserve">για τη </w:t>
      </w:r>
      <w:r>
        <w:rPr>
          <w:b/>
          <w:bCs/>
          <w:lang w:val="el" w:eastAsia="el"/>
        </w:rPr>
        <w:t xml:space="preserve">ΔΕΦΚ </w:t>
      </w:r>
      <w:r>
        <w:rPr>
          <w:lang w:val="el" w:eastAsia="el"/>
        </w:rPr>
        <w:t xml:space="preserve">και </w:t>
      </w:r>
      <w:r>
        <w:rPr>
          <w:b/>
          <w:bCs/>
          <w:lang w:val="el" w:eastAsia="el"/>
        </w:rPr>
        <w:t xml:space="preserve">1777 </w:t>
      </w:r>
      <w:r>
        <w:rPr>
          <w:lang w:val="el" w:eastAsia="el"/>
        </w:rPr>
        <w:t xml:space="preserve">για το </w:t>
      </w:r>
      <w:r>
        <w:rPr>
          <w:b/>
          <w:bCs/>
          <w:lang w:val="el" w:eastAsia="el"/>
        </w:rPr>
        <w:t>ΕΔΕ</w:t>
      </w:r>
    </w:p>
    <w:p>
      <w:pPr>
        <w:spacing w:before="240" w:after="240"/>
        <w:rPr>
          <w:lang w:val="el" w:eastAsia="el"/>
        </w:rPr>
      </w:pPr>
      <w:r>
        <w:rPr>
          <w:lang w:val="el" w:eastAsia="el"/>
        </w:rPr>
        <w:t>Περιγραφή: «Ειδικό Δελτίο Ταυτότητας Μέλους Διεθνούς/Ευρωπαϊκού Οργανισμού»</w:t>
      </w:r>
    </w:p>
    <w:p>
      <w:pPr>
        <w:spacing w:before="240" w:after="240"/>
        <w:rPr>
          <w:lang w:val="el" w:eastAsia="el"/>
        </w:rPr>
      </w:pPr>
      <w:r>
        <w:rPr>
          <w:lang w:val="el" w:eastAsia="el"/>
        </w:rPr>
        <w:t xml:space="preserve">γ. </w:t>
      </w:r>
      <w:r>
        <w:rPr>
          <w:b/>
          <w:bCs/>
          <w:lang w:val="el" w:eastAsia="el"/>
        </w:rPr>
        <w:t xml:space="preserve">1E83 </w:t>
      </w:r>
      <w:r>
        <w:rPr>
          <w:lang w:val="el" w:eastAsia="el"/>
        </w:rPr>
        <w:t xml:space="preserve">για τη </w:t>
      </w:r>
      <w:r>
        <w:rPr>
          <w:b/>
          <w:bCs/>
          <w:lang w:val="el" w:eastAsia="el"/>
        </w:rPr>
        <w:t xml:space="preserve">ΔΕΦΚ </w:t>
      </w:r>
      <w:r>
        <w:rPr>
          <w:lang w:val="el" w:eastAsia="el"/>
        </w:rPr>
        <w:t xml:space="preserve">και </w:t>
      </w:r>
      <w:r>
        <w:rPr>
          <w:b/>
          <w:bCs/>
          <w:lang w:val="el" w:eastAsia="el"/>
        </w:rPr>
        <w:t xml:space="preserve">1778 </w:t>
      </w:r>
      <w:r>
        <w:rPr>
          <w:lang w:val="el" w:eastAsia="el"/>
        </w:rPr>
        <w:t xml:space="preserve">για το </w:t>
      </w:r>
      <w:r>
        <w:rPr>
          <w:b/>
          <w:bCs/>
          <w:lang w:val="el" w:eastAsia="el"/>
        </w:rPr>
        <w:t>ΕΔΕ</w:t>
      </w:r>
    </w:p>
    <w:p>
      <w:pPr>
        <w:spacing w:before="240" w:after="240"/>
        <w:rPr>
          <w:lang w:val="el" w:eastAsia="el"/>
        </w:rPr>
      </w:pPr>
      <w:r>
        <w:rPr>
          <w:lang w:val="el" w:eastAsia="el"/>
        </w:rPr>
        <w:t>Περιγραφή: «Κατάσταση ειδών Διεθνών/Ευρωπαϊκών Οργανισμών».</w:t>
      </w:r>
    </w:p>
    <w:p>
      <w:pPr>
        <w:spacing w:before="240" w:after="240"/>
        <w:rPr>
          <w:lang w:val="el" w:eastAsia="el"/>
        </w:rPr>
      </w:pPr>
      <w:r>
        <w:rPr>
          <w:lang w:val="el" w:eastAsia="el"/>
        </w:rPr>
        <w:t>Επισημαίνεται ότι ο χαρακτήρας «Ε» των ανωτέρω κωδικών είναι λατινικός.</w:t>
      </w:r>
    </w:p>
    <w:p>
      <w:pPr>
        <w:spacing w:before="240" w:after="240"/>
        <w:rPr>
          <w:lang w:val="el" w:eastAsia="el"/>
        </w:rPr>
      </w:pPr>
      <w:r>
        <w:rPr>
          <w:lang w:val="el" w:eastAsia="el"/>
        </w:rPr>
        <w:t xml:space="preserve">Με τις διατάξεις του </w:t>
      </w:r>
      <w:r>
        <w:rPr>
          <w:b/>
          <w:bCs/>
          <w:lang w:val="el" w:eastAsia="el"/>
        </w:rPr>
        <w:t xml:space="preserve">άρθρου 5 </w:t>
      </w:r>
      <w:r>
        <w:rPr>
          <w:lang w:val="el" w:eastAsia="el"/>
        </w:rPr>
        <w:t xml:space="preserve">ορίζεται ως αρμόδια τελωνειακή αρχή για την παρακολούθηση και τον έλεγχο της απαλλαγής από τις δασμοφορολογικές επιβαρύνσεις της παραλαβής αλκοολούχων και καπνικών προϊόντων </w:t>
      </w:r>
      <w:r>
        <w:rPr>
          <w:b/>
          <w:bCs/>
          <w:lang w:val="el" w:eastAsia="el"/>
        </w:rPr>
        <w:t>το Α΄ Τελωνείο Εισαγωγής, Ε.Φ.Κ. και Εφοδίων Πειραιά.</w:t>
      </w:r>
    </w:p>
    <w:p>
      <w:pPr>
        <w:spacing w:before="240" w:after="240"/>
        <w:rPr>
          <w:lang w:val="el" w:eastAsia="el"/>
        </w:rPr>
      </w:pPr>
      <w:r>
        <w:rPr>
          <w:lang w:val="el" w:eastAsia="el"/>
        </w:rPr>
        <w:t xml:space="preserve">Με τις διατάξεις του </w:t>
      </w:r>
      <w:r>
        <w:rPr>
          <w:b/>
          <w:bCs/>
          <w:lang w:val="el" w:eastAsia="el"/>
        </w:rPr>
        <w:t xml:space="preserve">άρθρου 6 </w:t>
      </w:r>
      <w:r>
        <w:rPr>
          <w:lang w:val="el" w:eastAsia="el"/>
        </w:rPr>
        <w:t xml:space="preserve">ορίζεται ότι για την παρακολούθηση της ορθής εφαρμογής των διατάξεων και την </w:t>
      </w:r>
      <w:r>
        <w:rPr>
          <w:b/>
          <w:bCs/>
          <w:lang w:val="el" w:eastAsia="el"/>
        </w:rPr>
        <w:t xml:space="preserve">τήρηση των προβλεπόμενων ορίων ποσοτήτων αφορολόγητων προϊόντων </w:t>
      </w:r>
      <w:r>
        <w:rPr>
          <w:lang w:val="el" w:eastAsia="el"/>
        </w:rPr>
        <w:t>η τελωνειακή αρχή ελέγχου προβαίνει στους απαραίτητους ελέγχους ενώ στην περίπτωση που τα προϊόντα τελωνίζονται σε διαφορετική τελωνειακή αρχή, αποστέλλει στην τελωνειακή αρχή ελέγχου κατάσταση συμπληρωμένη κατάλληλα με τα απαιτούμενα στοιχεία, σύμφωνα με τα Παραρτήματα Ι και ΙΙ της Απόφασης.</w:t>
      </w:r>
    </w:p>
    <w:p>
      <w:pPr>
        <w:spacing w:before="240" w:after="240"/>
        <w:rPr>
          <w:lang w:val="el" w:eastAsia="el"/>
        </w:rPr>
      </w:pPr>
      <w:r>
        <w:rPr>
          <w:lang w:val="el" w:eastAsia="el"/>
        </w:rPr>
        <w:t xml:space="preserve">Τέλος, με τις διατάξεις του </w:t>
      </w:r>
      <w:r>
        <w:rPr>
          <w:b/>
          <w:bCs/>
          <w:lang w:val="el" w:eastAsia="el"/>
        </w:rPr>
        <w:t xml:space="preserve">άρθρου 7 </w:t>
      </w:r>
      <w:r>
        <w:rPr>
          <w:lang w:val="el" w:eastAsia="el"/>
        </w:rPr>
        <w:t xml:space="preserve">ορίζεται ως </w:t>
      </w:r>
      <w:r>
        <w:rPr>
          <w:b/>
          <w:bCs/>
          <w:lang w:val="el" w:eastAsia="el"/>
        </w:rPr>
        <w:t xml:space="preserve">ημερομηνία έναρξης ισχύος </w:t>
      </w:r>
      <w:r>
        <w:rPr>
          <w:lang w:val="el" w:eastAsia="el"/>
        </w:rPr>
        <w:t xml:space="preserve">της απόφασης η ημερομηνία δημοσίευσής της στην Εφημερίδα της Κυβερνήσεως, ήτοι </w:t>
      </w:r>
      <w:r>
        <w:rPr>
          <w:b/>
          <w:bCs/>
          <w:lang w:val="el" w:eastAsia="el"/>
        </w:rPr>
        <w:t>31/12/2020</w:t>
      </w:r>
      <w:r>
        <w:rPr>
          <w:lang w:val="el" w:eastAsia="el"/>
        </w:rPr>
        <w:t>.</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Δ/νση Στρατηγικής Τεχνολογιών Πληροφορικής (ΔΙ.Σ.ΤΕ.ΠΛ.) της ΓΔ.ΗΛΕ.Δ. για ενημέρωση της «Ηλεκτρονικής Βιβλιοθήκης» e-mail:</w:t>
      </w:r>
      <w:hyperlink r:id="rId6" w:history="1">
        <w:r>
          <w:rPr>
            <w:rStyle w:val="Hyperlink"/>
            <w:color w:val="0000EE"/>
            <w:u w:color="0000EE"/>
            <w:lang w:val="el" w:eastAsia="el"/>
          </w:rPr>
          <w:t>siteasmin@ aade.grr</w:t>
        </w:r>
      </w:hyperlink>
    </w:p>
    <w:p>
      <w:pPr>
        <w:spacing w:before="240" w:after="240"/>
        <w:rPr>
          <w:lang w:val="el" w:eastAsia="el"/>
        </w:rPr>
      </w:pPr>
      <w:r>
        <w:rPr>
          <w:lang w:val="el" w:eastAsia="el"/>
        </w:rPr>
        <w:t>3. ΔΙΕΠΙΔΙ-Υποδιεύθυνση Β΄-Τμήμα Ε΄ (για ανάρτηση στο Portal του ICISnet) e-mail:</w:t>
      </w:r>
      <w:hyperlink r:id="rId7" w:history="1">
        <w:r>
          <w:rPr>
            <w:rStyle w:val="Hyperlink"/>
            <w:color w:val="0000EE"/>
            <w:u w:color="0000EE"/>
            <w:lang w:val="el" w:eastAsia="el"/>
          </w:rPr>
          <w:t>p.bambali@ aade.grr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Αυτοτελές Τμήμα Νομικής Υποστήριξης</w:t>
      </w:r>
    </w:p>
    <w:p>
      <w:pPr>
        <w:spacing w:before="240" w:after="240"/>
        <w:rPr>
          <w:lang w:val="el" w:eastAsia="el"/>
        </w:rPr>
      </w:pPr>
      <w:r>
        <w:rPr>
          <w:lang w:val="el" w:eastAsia="el"/>
        </w:rPr>
        <w:t>7. Ελεγκτική Υπηρεσία Τελωνείων (ΕΛ.Υ.Τ.) Αττικής</w:t>
      </w:r>
    </w:p>
    <w:p>
      <w:pPr>
        <w:spacing w:before="240" w:after="240"/>
        <w:rPr>
          <w:lang w:val="el" w:eastAsia="el"/>
        </w:rPr>
      </w:pPr>
      <w:r>
        <w:rPr>
          <w:lang w:val="el" w:eastAsia="el"/>
        </w:rPr>
        <w:t>8. Ελεγκτική Υπηρεσία Τελωνείων (ΕΛ.Υ.Τ.) Θεσσαλονίκης</w:t>
      </w:r>
    </w:p>
    <w:p>
      <w:pPr>
        <w:spacing w:before="240" w:after="240"/>
        <w:rPr>
          <w:lang w:val="el" w:eastAsia="el"/>
        </w:rPr>
      </w:pPr>
      <w:r>
        <w:rPr>
          <w:lang w:val="el" w:eastAsia="el"/>
        </w:rPr>
        <w:t>9. Επιτελική Υπηρεσία Τελωνείων (Ε.Υ.Τ.Ε.)</w:t>
      </w:r>
    </w:p>
    <w:p>
      <w:pPr>
        <w:spacing w:before="240" w:after="240"/>
        <w:rPr>
          <w:lang w:val="el" w:eastAsia="el"/>
        </w:rPr>
      </w:pPr>
      <w:r>
        <w:rPr>
          <w:lang w:val="el" w:eastAsia="el"/>
        </w:rPr>
        <w:t>10. Συντονιστικό Επιχειρησιακό Κέντρο (Σ.Ε.Κ.)</w:t>
      </w:r>
    </w:p>
    <w:p>
      <w:pPr>
        <w:spacing w:before="240" w:after="240"/>
        <w:rPr>
          <w:lang w:val="el" w:eastAsia="el"/>
        </w:rPr>
      </w:pPr>
      <w:r>
        <w:rPr>
          <w:lang w:val="el" w:eastAsia="el"/>
        </w:rPr>
        <w:t>11.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 –Τμήμα Β΄</w:t>
      </w:r>
    </w:p>
    <w:p>
      <w:pPr>
        <w:spacing w:before="240" w:after="240"/>
        <w:rPr>
          <w:lang w:val="el" w:eastAsia="el"/>
        </w:rPr>
      </w:pPr>
      <w:r>
        <w:rPr>
          <w:lang w:val="el" w:eastAsia="el"/>
        </w:rPr>
        <w:t>12. 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w:t>
      </w:r>
    </w:p>
    <w:p>
      <w:pPr>
        <w:spacing w:before="240" w:after="240"/>
        <w:rPr>
          <w:lang w:val="el" w:eastAsia="el"/>
        </w:rPr>
      </w:pPr>
      <w:r>
        <w:rPr>
          <w:lang w:val="el" w:eastAsia="el"/>
        </w:rPr>
        <w:t>και Επιχειρησιακών Εφαρμογών (Δ.Α.Τ.Ε.)</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Εφαρμογών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 Τμήματα Ε΄, ΣΤ΄, Ζ΄, Η΄</w:t>
      </w:r>
    </w:p>
    <w:p>
      <w:pPr>
        <w:spacing w:before="240" w:after="240"/>
        <w:rPr>
          <w:lang w:val="el" w:eastAsia="el"/>
        </w:rPr>
      </w:pPr>
      <w:r>
        <w:rPr>
          <w:lang w:val="el" w:eastAsia="el"/>
        </w:rPr>
        <w:t>13. Διεύθυνση Διεθνών Οικονομικών Σχέσεων (Δ.Ο.Σ.) της ΑΑΔΕ – Τμήμα Β΄</w:t>
      </w:r>
    </w:p>
    <w:p>
      <w:pPr>
        <w:spacing w:before="240" w:after="240"/>
        <w:rPr>
          <w:lang w:val="el" w:eastAsia="el"/>
        </w:rPr>
      </w:pPr>
      <w:r>
        <w:rPr>
          <w:lang w:val="el" w:eastAsia="el"/>
        </w:rPr>
        <w:t>14. Διεύθυνση Φορολογικής και Τελωνειακής Ακαδημίας</w:t>
      </w:r>
    </w:p>
    <w:p>
      <w:pPr>
        <w:spacing w:before="240" w:after="240"/>
        <w:rPr>
          <w:lang w:val="el" w:eastAsia="el"/>
        </w:rPr>
      </w:pPr>
      <w:r>
        <w:rPr>
          <w:lang w:val="el" w:eastAsia="el"/>
        </w:rPr>
        <w:t>15. Υπουργείο Εξωτερικών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Δ/νση Εθιμοτυπίας</w:t>
      </w:r>
    </w:p>
    <w:p>
      <w:pPr>
        <w:pStyle w:val="StructureList1"/>
        <w:spacing w:before="120" w:after="0"/>
        <w:rPr>
          <w:lang w:val="el" w:eastAsia="el"/>
        </w:rPr>
      </w:pPr>
      <w:r>
        <w:rPr>
          <w:lang w:val="el" w:eastAsia="el"/>
        </w:rPr>
        <w:t>γ)</w:t>
      </w:r>
      <w:r>
        <w:rPr>
          <w:lang w:val="en" w:eastAsia="en"/>
        </w:rPr>
        <w:tab/>
      </w:r>
      <w:r>
        <w:rPr>
          <w:lang w:val="el" w:eastAsia="el"/>
        </w:rPr>
        <w:t>Ειδική Νομική Υπηρεσία (ΕΝΥ) και ΕΝΥ Ε.Ε.</w:t>
      </w:r>
    </w:p>
    <w:p>
      <w:pPr>
        <w:pStyle w:val="StructureList1"/>
        <w:spacing w:before="120" w:after="0"/>
        <w:rPr>
          <w:lang w:val="el" w:eastAsia="el"/>
        </w:rPr>
      </w:pPr>
      <w:r>
        <w:rPr>
          <w:lang w:val="el" w:eastAsia="el"/>
        </w:rPr>
        <w:t>δ)</w:t>
      </w:r>
      <w:r>
        <w:rPr>
          <w:lang w:val="en" w:eastAsia="en"/>
        </w:rPr>
        <w:tab/>
      </w:r>
      <w:r>
        <w:rPr>
          <w:lang w:val="el" w:eastAsia="el"/>
        </w:rPr>
        <w:t>Γ3 Διεύθυνση Εσωτερικής Αγοράς, Γεωργίας και άλλων Ευρωπαϊκών Πολιτικών</w:t>
      </w:r>
    </w:p>
    <w:p>
      <w:pPr>
        <w:spacing w:before="240" w:after="240"/>
        <w:rPr>
          <w:lang w:val="el" w:eastAsia="el"/>
        </w:rPr>
      </w:pPr>
      <w:r>
        <w:rPr>
          <w:lang w:val="el" w:eastAsia="el"/>
        </w:rPr>
        <w:t xml:space="preserve">16. Ευρωπαϊκός Οργανισμός Ασφάλειας Δικτύων και Πληροφοριών (ENISA) E-mail: </w:t>
      </w:r>
      <w:hyperlink r:id="rId8" w:history="1">
        <w:r>
          <w:rPr>
            <w:rStyle w:val="Hyperlink"/>
            <w:color w:val="0000EE"/>
            <w:u w:color="0000EE"/>
            <w:lang w:val="el" w:eastAsia="el"/>
          </w:rPr>
          <w:t>Migruel.Pereira@enisa.europa.eu</w:t>
        </w:r>
      </w:hyperlink>
    </w:p>
    <w:p>
      <w:pPr>
        <w:spacing w:before="240" w:after="240"/>
        <w:rPr>
          <w:lang w:val="el" w:eastAsia="el"/>
        </w:rPr>
      </w:pPr>
      <w:r>
        <w:rPr>
          <w:lang w:val="el" w:eastAsia="el"/>
        </w:rPr>
        <w:t>17. Αποδέκτες Πίνακα Η΄ (Σύλλογοι Λογιστών και Εκτελωνιστών)</w:t>
      </w:r>
    </w:p>
    <w:p>
      <w:pPr>
        <w:spacing w:before="240" w:after="240"/>
        <w:rPr>
          <w:lang w:val="el" w:eastAsia="el"/>
        </w:rPr>
      </w:pPr>
      <w:r>
        <w:rPr>
          <w:lang w:val="el" w:eastAsia="el"/>
        </w:rPr>
        <w:t>18. Οικονομικό Επιμελητήριο της Ελλάδας (Πίνακας ΙΒ΄)</w:t>
      </w:r>
    </w:p>
    <w:p>
      <w:pPr>
        <w:spacing w:before="240" w:after="240"/>
        <w:rPr>
          <w:lang w:val="el" w:eastAsia="el"/>
        </w:rPr>
      </w:pPr>
      <w:r>
        <w:rPr>
          <w:lang w:val="el" w:eastAsia="el"/>
        </w:rPr>
        <w:t>19. Αποδέκτες Πίνακα Ζ΄(Συνδικαλιστικοί Σύλλογοι Υπαλλήλων Α.Α.Δ.Ε.)</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της Γενικής Διεύθυνσης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&amp; Παραβάσεων</w:t>
      </w:r>
    </w:p>
    <w:p>
      <w:pPr>
        <w:spacing w:before="240" w:after="240"/>
        <w:rPr>
          <w:lang w:val="el" w:eastAsia="el"/>
        </w:rPr>
      </w:pPr>
      <w:r>
        <w:rPr>
          <w:lang w:val="el" w:eastAsia="el"/>
        </w:rPr>
        <w:t>5. Δ/νση Δασμολογικών Θεμάτων, Ειδικών Καθεστώτων και Απαλλαγών – Τμ. Α΄ - Β’ - Γ’, Δ΄</w:t>
      </w:r>
    </w:p>
    <w:p>
      <w:pPr>
        <w:spacing w:before="240" w:after="240"/>
        <w:rPr>
          <w:lang w:val="el" w:eastAsia="el"/>
        </w:rPr>
      </w:pPr>
      <w:r>
        <w:rPr>
          <w:lang w:val="el" w:eastAsia="el"/>
        </w:rPr>
        <w:t>6. Δ/νση Ε.Φ.Κ. &amp; Φ.Π.Α - Τμήμα Ε΄</w:t>
      </w:r>
    </w:p>
    <w:p>
      <w:pPr>
        <w:spacing w:before="240" w:after="240"/>
        <w:rPr>
          <w:lang w:val="el" w:eastAsia="el"/>
        </w:rPr>
      </w:pPr>
      <w:r>
        <w:rPr>
          <w:lang w:val="el" w:eastAsia="el"/>
        </w:rPr>
        <w:t>7. Αυτοτελές Τμήμα Υποστήριξης της Γενικής Διεύθυνσης Φορολογικής Διοίκησης</w:t>
      </w:r>
    </w:p>
    <w:p>
      <w:pPr>
        <w:spacing w:before="240" w:after="240"/>
        <w:rPr>
          <w:lang w:val="el" w:eastAsia="el"/>
        </w:rPr>
      </w:pPr>
      <w:r>
        <w:rPr>
          <w:lang w:val="el" w:eastAsia="el"/>
        </w:rPr>
        <w:t>8. 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dtheka@aade.gr" TargetMode="External" /><Relationship Id="rId6" Type="http://schemas.openxmlformats.org/officeDocument/2006/relationships/hyperlink" Target="mailto:siteasmin@aade.gr" TargetMode="External" /><Relationship Id="rId7" Type="http://schemas.openxmlformats.org/officeDocument/2006/relationships/hyperlink" Target="mailto:p.bambali@aade.gr" TargetMode="External" /><Relationship Id="rId8" Type="http://schemas.openxmlformats.org/officeDocument/2006/relationships/hyperlink" Target="mailto:Migruel.Pereira@enisa.europa.e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