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ΚΑΙ Ε.Φ.Κ. ΔΙΕΥΘΥΝΣΗ ΣΤΡΑΤΗΓΙΚΗΣ ΤΕΛΩΝΕΙΑΚΩΝ ΕΛΕΓΧΩΝ ΚΑΙ ΠΑΡΑΒΑΣΕΩΝ – ΤΜΗΜΑ Δ΄ Δ/ΝΣΗ ΤΕΛΩΝΕΙΑΚΩΝ ΔΙΑΔΙΚΑΣΙΩΝ – ΤΜΗΜΑ Δ΄</w:t>
      </w:r>
    </w:p>
    <w:p>
      <w:pPr>
        <w:spacing w:before="240" w:after="240"/>
        <w:rPr>
          <w:lang w:val="el" w:eastAsia="el"/>
        </w:rPr>
      </w:pPr>
      <w:r>
        <w:rPr>
          <w:lang w:val="el" w:eastAsia="el"/>
        </w:rPr>
        <w:t>Ταχ. Δ/νση: Καρ. Σερβίας 10, 101 84, Αθήνα</w:t>
      </w:r>
    </w:p>
    <w:p>
      <w:pPr>
        <w:spacing w:before="240" w:after="240"/>
        <w:rPr>
          <w:lang w:val="el" w:eastAsia="el"/>
        </w:rPr>
      </w:pPr>
      <w:r>
        <w:rPr>
          <w:lang w:val="el" w:eastAsia="el"/>
        </w:rPr>
        <w:t>Πληροφορίες: Π. Δημοπούλου, Α. Μάστορα</w:t>
      </w:r>
    </w:p>
    <w:p>
      <w:pPr>
        <w:spacing w:before="240" w:after="240"/>
        <w:rPr>
          <w:lang w:val="el" w:eastAsia="el"/>
        </w:rPr>
      </w:pPr>
      <w:r>
        <w:rPr>
          <w:lang w:val="el" w:eastAsia="el"/>
        </w:rPr>
        <w:t>Τηλέφωνο: (+30) 210 – 72.59.326, (+30) 210 – 69.87.437</w:t>
      </w:r>
    </w:p>
    <w:p>
      <w:pPr>
        <w:spacing w:before="240" w:after="240"/>
        <w:rPr>
          <w:lang w:val="el" w:eastAsia="el"/>
        </w:rPr>
      </w:pPr>
      <w:r>
        <w:rPr>
          <w:lang w:val="el" w:eastAsia="el"/>
        </w:rPr>
        <w:t xml:space="preserve">E-Mail: </w:t>
      </w:r>
      <w:hyperlink r:id="rId5" w:history="1">
        <w:r>
          <w:rPr>
            <w:rStyle w:val="Hyperlink"/>
            <w:color w:val="0000EE"/>
            <w:u w:color="0000EE"/>
            <w:lang w:val="el" w:eastAsia="el"/>
          </w:rPr>
          <w:t>dstepoffences@aade.gr</w:t>
        </w:r>
      </w:hyperlink>
      <w:r>
        <w:rPr>
          <w:lang w:val="el" w:eastAsia="el"/>
        </w:rPr>
        <w:t xml:space="preserve">, </w:t>
      </w:r>
      <w:hyperlink r:id="rId6" w:history="1">
        <w:r>
          <w:rPr>
            <w:rStyle w:val="Hyperlink"/>
            <w:color w:val="0000EE"/>
            <w:u w:color="0000EE"/>
            <w:lang w:val="el" w:eastAsia="el"/>
          </w:rPr>
          <w:t>dtd@aade.gr</w:t>
        </w:r>
      </w:hyperlink>
    </w:p>
    <w:p>
      <w:pPr>
        <w:spacing w:before="240" w:after="240"/>
        <w:rPr>
          <w:lang w:val="el" w:eastAsia="el"/>
        </w:rPr>
      </w:pPr>
      <w:r>
        <w:rPr>
          <w:lang w:val="el" w:eastAsia="el"/>
        </w:rPr>
        <w:t>Url:</w:t>
      </w: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Κοινοποίηση της αριθμ. 188/2020 γνωμοδότησης του Νομικού Συμβουλίου του Κράτους (Τμήμα Β΄), αναφορικά με τη δυνατότητα ή μη καταλογισμού και λήψης μέτρων είσπραξης σε βάρος ανηλίκου που έχει τελέσει λαθρεμπορία.</w:t>
      </w:r>
    </w:p>
    <w:p>
      <w:pPr>
        <w:spacing w:before="240" w:after="240"/>
        <w:rPr>
          <w:lang w:val="el" w:eastAsia="el"/>
        </w:rPr>
      </w:pPr>
      <w:r>
        <w:rPr>
          <w:lang w:val="el" w:eastAsia="el"/>
        </w:rPr>
        <w:t>Σας κοινοποιούμε την αριθμ. 188/2020 γνωμοδότηση του Νομικού Συμβουλίου του Κράτους (Τμήμα Β΄), που έγινε αποδεκτή από τον Διοικητή της Ανεξάρτητης Αρχής Δημοσίων Εσόδων, από την οποία προκύπτουν τα ακόλουθα:</w:t>
      </w:r>
    </w:p>
    <w:p>
      <w:pPr>
        <w:spacing w:before="240" w:after="240"/>
        <w:rPr>
          <w:lang w:val="el" w:eastAsia="el"/>
        </w:rPr>
      </w:pPr>
      <w:r>
        <w:rPr>
          <w:lang w:val="el" w:eastAsia="el"/>
        </w:rPr>
        <w:t>1) Σε βάρος ανηλίκου που, κατά την κρίση της Τελωνειακής Αρχής, διέπραξε λαθρεμπορία, ενώ δεν είχε συμπληρώσει το 15</w:t>
      </w:r>
      <w:r>
        <w:rPr>
          <w:sz w:val="30"/>
          <w:szCs w:val="30"/>
          <w:vertAlign w:val="superscript"/>
          <w:lang w:val="el" w:eastAsia="el"/>
        </w:rPr>
        <w:t>ο</w:t>
      </w:r>
      <w:r>
        <w:rPr>
          <w:lang w:val="el" w:eastAsia="el"/>
        </w:rPr>
        <w:t xml:space="preserve"> έτος της ηλικίας του, μπορεί η Αρχή αυτή να επιβάλει με καταλογιστική πράξη τους διαφυγόντες δασμούς και φόρους και λοιπές επιβαρύνσεις (τελωνειακή οφειλή). Δεν μπορεί να επιβάλει σε βάρος του πολλαπλά τέλη λαθρεμπορίας. Σε βάρος των ασκούντων τη γονική μέριμνα γονέων του, εάν δεν μετείχαν οι ίδιοι στην τέλεση της λαθρεμπορίας, δεν μπορεί να επιβάλει με καταλογιστική πράξη ούτε τους διαφυγόντες δασμούς, φόρους ή τις λοιπές επιβαρύνσει</w:t>
      </w:r>
      <w:hyperlink r:id="rId8" w:history="1">
        <w:r>
          <w:rPr>
            <w:rStyle w:val="Hyperlink"/>
            <w:color w:val="0000EE"/>
            <w:u w:color="0000EE"/>
            <w:lang w:val="el" w:eastAsia="el"/>
          </w:rPr>
          <w:t>ς</w:t>
        </w:r>
      </w:hyperlink>
      <w:r>
        <w:rPr>
          <w:rStyle w:val="Hyperlink"/>
          <w:color w:val="000000"/>
          <w:sz w:val="20"/>
          <w:szCs w:val="20"/>
          <w:u w:val="none" w:color="0000EE"/>
          <w:vertAlign w:val="superscript"/>
          <w:lang w:val="el" w:eastAsia="el"/>
        </w:rPr>
        <w:footnoteReference w:id="2"/>
      </w:r>
      <w:r>
        <w:rPr>
          <w:lang w:val="el" w:eastAsia="el"/>
        </w:rPr>
        <w:t>ούτε τα πολλαπλά τέλη λαθρεμπορίας.</w:t>
      </w:r>
    </w:p>
    <w:p>
      <w:pPr>
        <w:spacing w:before="240" w:after="240"/>
        <w:rPr>
          <w:lang w:val="el" w:eastAsia="el"/>
        </w:rPr>
      </w:pPr>
      <w:r>
        <w:rPr>
          <w:i/>
          <w:iCs/>
          <w:lang w:val="el" w:eastAsia="el"/>
        </w:rPr>
        <w:t>2) Σε βάρος ανηλίκου που, κατά την κρίση της Τελωνειακής Αρχής, διέπραξε λαθρεμπορία, ενώ είχε συμπληρώσει το 15</w:t>
      </w:r>
      <w:r>
        <w:rPr>
          <w:i/>
          <w:iCs/>
          <w:sz w:val="30"/>
          <w:szCs w:val="30"/>
          <w:vertAlign w:val="superscript"/>
          <w:lang w:val="el" w:eastAsia="el"/>
        </w:rPr>
        <w:t>ο</w:t>
      </w:r>
      <w:r>
        <w:rPr>
          <w:i/>
          <w:iCs/>
          <w:lang w:val="el" w:eastAsia="el"/>
        </w:rPr>
        <w:t xml:space="preserve"> έτος της ηλικίας του, μπορεί η Αρχή αυτή να επιβάλει με καταλογιστική πράξη τόσο τους διαφυγόντες δασμούς, φόρους και λοιπές επιβαρύνσεις, όσο και τα πολλαπλά τέλη. Σε βάρος των ασκούντων τη γονική μέριμνα γονέων του, εάν δεν μετείχαν οι ίδιοι στην τέλεση της λαθρεμπορίας, δεν μπορεί να επιβάλει με καταλογιστική πράξη ούτε τους διαφυγόντες δασμούς, φόρους και τις λοιπές επιβαρύνσει</w:t>
      </w:r>
      <w:hyperlink r:id="rId9" w:history="1">
        <w:r>
          <w:rPr>
            <w:rStyle w:val="Hyperlink"/>
            <w:i/>
            <w:iCs/>
            <w:color w:val="0000EE"/>
            <w:u w:color="0000EE"/>
            <w:lang w:val="el" w:eastAsia="el"/>
          </w:rPr>
          <w:t>ς</w:t>
        </w:r>
      </w:hyperlink>
      <w:r>
        <w:rPr>
          <w:rStyle w:val="Hyperlink"/>
          <w:i/>
          <w:iCs/>
          <w:color w:val="000000"/>
          <w:sz w:val="20"/>
          <w:szCs w:val="20"/>
          <w:u w:val="none" w:color="0000EE"/>
          <w:vertAlign w:val="superscript"/>
          <w:lang w:val="el" w:eastAsia="el"/>
        </w:rPr>
        <w:footnoteReference w:id="3"/>
      </w:r>
      <w:r>
        <w:rPr>
          <w:i/>
          <w:iCs/>
          <w:lang w:val="el" w:eastAsia="el"/>
        </w:rPr>
        <w:t>ούτε τα πολλαπλά τέλη λαθρεμπορίας.</w:t>
      </w:r>
    </w:p>
    <w:p>
      <w:pPr>
        <w:spacing w:before="240" w:after="240"/>
        <w:rPr>
          <w:lang w:val="el" w:eastAsia="el"/>
        </w:rPr>
      </w:pPr>
      <w:r>
        <w:rPr>
          <w:i/>
          <w:iCs/>
          <w:lang w:val="el" w:eastAsia="el"/>
        </w:rPr>
        <w:t>3) Αναγκαστικά μέτρα είσπραξης για τα καταλογισθέντα χρηματικά ποσά μπορούν να ληφθούν μόνο σε βάρος της περιουσίας του ανήλικου παραβάτη, φερόμενου ως οφειλέτη στην καταλογιστική πράξη, εφόσον διαθέτει ατομική περιουσία, ακόμη και μετά από την ενηλικίωσή του, μέχρι τη συμπλήρωση της παραγραφής του δικαιώματος του Δημοσίου για είσπραξη.</w:t>
      </w:r>
    </w:p>
    <w:p>
      <w:pPr>
        <w:spacing w:before="240" w:after="240"/>
        <w:rPr>
          <w:lang w:val="el" w:eastAsia="el"/>
        </w:rPr>
      </w:pPr>
      <w:r>
        <w:rPr>
          <w:b/>
          <w:bCs/>
          <w:i/>
          <w:iCs/>
          <w:lang w:val="el" w:eastAsia="el"/>
        </w:rPr>
        <w:t>Ο ΔΙΟΙΚΗΤΗΣ ΤΗΣ Α.Α.Δ.Ε.</w:t>
      </w:r>
    </w:p>
    <w:p>
      <w:pPr>
        <w:spacing w:before="240" w:after="240"/>
        <w:rPr>
          <w:lang w:val="el" w:eastAsia="el"/>
        </w:rPr>
      </w:pPr>
      <w:r>
        <w:rPr>
          <w:b/>
          <w:bCs/>
          <w:i/>
          <w:iCs/>
          <w:lang w:val="el" w:eastAsia="el"/>
        </w:rPr>
        <w:t>ΓΕΩΡΓΙΟΣ ΠΙΤΣΙΛΗΣ</w:t>
      </w:r>
    </w:p>
    <w:p>
      <w:pPr>
        <w:spacing w:before="240" w:after="240"/>
        <w:rPr>
          <w:lang w:val="el" w:eastAsia="el"/>
        </w:rPr>
      </w:pPr>
      <w:r>
        <w:rPr>
          <w:b/>
          <w:bCs/>
          <w:i/>
          <w:iCs/>
          <w:u w:val="single"/>
          <w:lang w:val="el" w:eastAsia="el"/>
        </w:rPr>
        <w:t>Συνημμένο:</w:t>
      </w:r>
    </w:p>
    <w:p>
      <w:pPr>
        <w:spacing w:before="240" w:after="240"/>
        <w:rPr>
          <w:lang w:val="el" w:eastAsia="el"/>
        </w:rPr>
      </w:pPr>
      <w:r>
        <w:rPr>
          <w:i/>
          <w:iCs/>
          <w:lang w:val="el" w:eastAsia="el"/>
        </w:rPr>
        <w:t>Φωτοτυπία της αριθμ. 188/2020 γνωμοδότησης του Ν.Σ.Κ. (Τμήμα Β΄)</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ΑΠΟΔΕΚΤΕΣ ΠΡΟΣ ΕΝΕΡΓΕΙΑ</w:t>
      </w:r>
    </w:p>
    <w:p>
      <w:pPr>
        <w:spacing w:before="240" w:after="240"/>
        <w:rPr>
          <w:lang w:val="el" w:eastAsia="el"/>
        </w:rPr>
      </w:pPr>
      <w:r>
        <w:rPr>
          <w:i/>
          <w:iCs/>
          <w:lang w:val="el" w:eastAsia="el"/>
        </w:rPr>
        <w:t>1. Αποδέκτες Πίνακα Δ΄</w:t>
      </w:r>
    </w:p>
    <w:p>
      <w:pPr>
        <w:spacing w:before="240" w:after="240"/>
        <w:rPr>
          <w:lang w:val="el" w:eastAsia="el"/>
        </w:rPr>
      </w:pPr>
      <w:r>
        <w:rPr>
          <w:i/>
          <w:iCs/>
          <w:lang w:val="el" w:eastAsia="el"/>
        </w:rPr>
        <w:t>2. Διεύθυνση Στρατηγικής Τεχνολογιών Πληροφορικής</w:t>
      </w:r>
    </w:p>
    <w:p>
      <w:pPr>
        <w:spacing w:before="240" w:after="240"/>
        <w:rPr>
          <w:lang w:val="el" w:eastAsia="el"/>
        </w:rPr>
      </w:pPr>
      <w:r>
        <w:rPr>
          <w:i/>
          <w:iCs/>
          <w:lang w:val="el" w:eastAsia="el"/>
        </w:rPr>
        <w:t>3. Αυτοτελές Τμήμα Συντονισμού Μεταρρυθμιστικών Δράσεων και Επικοινωνίας</w:t>
      </w:r>
    </w:p>
    <w:p>
      <w:pPr>
        <w:spacing w:before="240" w:after="240"/>
        <w:rPr>
          <w:lang w:val="el" w:eastAsia="el"/>
        </w:rPr>
      </w:pPr>
      <w:r>
        <w:rPr>
          <w:i/>
          <w:iCs/>
          <w:lang w:val="el" w:eastAsia="el"/>
        </w:rPr>
        <w:t>4. Ηλεκτρονική Βιβλιοθήκη Α.Α.Δ.Ε.</w:t>
      </w:r>
    </w:p>
    <w:p>
      <w:pPr>
        <w:spacing w:before="240" w:after="240"/>
        <w:rPr>
          <w:lang w:val="el" w:eastAsia="el"/>
        </w:rPr>
      </w:pPr>
      <w:r>
        <w:rPr>
          <w:b/>
          <w:bCs/>
          <w:i/>
          <w:iCs/>
          <w:lang w:val="el" w:eastAsia="el"/>
        </w:rPr>
        <w:t>Β. ΑΠΟΔΕΚΤΕΣ ΠΡΟΣ ΚΟΙΝΟΠΟΙΗΣΗ</w:t>
      </w:r>
    </w:p>
    <w:p>
      <w:pPr>
        <w:spacing w:before="240" w:after="240"/>
        <w:rPr>
          <w:lang w:val="el" w:eastAsia="el"/>
        </w:rPr>
      </w:pPr>
      <w:r>
        <w:rPr>
          <w:i/>
          <w:iCs/>
          <w:lang w:val="el" w:eastAsia="el"/>
        </w:rPr>
        <w:t>1. Αποδέκτες Πίνακα Α΄ (πλην των αποδεκτών προς ενέργεια)</w:t>
      </w:r>
    </w:p>
    <w:p>
      <w:pPr>
        <w:spacing w:before="240" w:after="240"/>
        <w:rPr>
          <w:lang w:val="el" w:eastAsia="el"/>
        </w:rPr>
      </w:pPr>
      <w:r>
        <w:rPr>
          <w:i/>
          <w:iCs/>
          <w:lang w:val="el" w:eastAsia="el"/>
        </w:rPr>
        <w:t>2. Γενική Δ/νση Φορολογικής Διοίκησης</w:t>
      </w:r>
    </w:p>
    <w:p>
      <w:pPr>
        <w:spacing w:before="240" w:after="240"/>
        <w:rPr>
          <w:lang w:val="el" w:eastAsia="el"/>
        </w:rPr>
      </w:pPr>
      <w:r>
        <w:rPr>
          <w:i/>
          <w:iCs/>
          <w:lang w:val="el" w:eastAsia="el"/>
        </w:rPr>
        <w:t>3. Κεντρική Υπηρεσία Ν.Σ.Κ.</w:t>
      </w:r>
    </w:p>
    <w:p>
      <w:pPr>
        <w:spacing w:before="240" w:after="240"/>
        <w:rPr>
          <w:lang w:val="el" w:eastAsia="el"/>
        </w:rPr>
      </w:pPr>
      <w:r>
        <w:rPr>
          <w:i/>
          <w:iCs/>
          <w:lang w:val="el" w:eastAsia="el"/>
        </w:rPr>
        <w:t>4. Ειδικό Νομικό Γραφείο Δημοσίων Εσόδων</w:t>
      </w:r>
    </w:p>
    <w:p>
      <w:pPr>
        <w:spacing w:before="240" w:after="240"/>
        <w:rPr>
          <w:lang w:val="el" w:eastAsia="el"/>
        </w:rPr>
      </w:pPr>
      <w:r>
        <w:rPr>
          <w:i/>
          <w:iCs/>
          <w:lang w:val="el" w:eastAsia="el"/>
        </w:rPr>
        <w:t>5. Γραφείο Υφυπουργού Οικονομικών κ. Βεσυρόπουλου</w:t>
      </w:r>
    </w:p>
    <w:p>
      <w:pPr>
        <w:spacing w:before="240" w:after="240"/>
        <w:rPr>
          <w:lang w:val="el" w:eastAsia="el"/>
        </w:rPr>
      </w:pPr>
      <w:r>
        <w:rPr>
          <w:i/>
          <w:iCs/>
          <w:lang w:val="el" w:eastAsia="el"/>
        </w:rPr>
        <w:t>6. Γραφείο Γ.Γ. Φορολογικής Πολιτικής και Δημόσιας Περιουσίας</w:t>
      </w:r>
    </w:p>
    <w:p>
      <w:pPr>
        <w:spacing w:before="240" w:after="240"/>
        <w:rPr>
          <w:lang w:val="el" w:eastAsia="el"/>
        </w:rPr>
      </w:pPr>
      <w:r>
        <w:rPr>
          <w:b/>
          <w:bCs/>
          <w:i/>
          <w:iCs/>
          <w:lang w:val="el" w:eastAsia="el"/>
        </w:rPr>
        <w:t>Γ. ΕΣΩΤΕΡΙΚΗ ΔΙΑΝΟΜΗ</w:t>
      </w:r>
    </w:p>
    <w:p>
      <w:pPr>
        <w:spacing w:before="240" w:after="240"/>
        <w:rPr>
          <w:lang w:val="el" w:eastAsia="el"/>
        </w:rPr>
      </w:pPr>
      <w:r>
        <w:rPr>
          <w:i/>
          <w:iCs/>
          <w:lang w:val="el" w:eastAsia="el"/>
        </w:rPr>
        <w:t>1. Γραφείο Διοικητή Α.Α.Δ.Ε.</w:t>
      </w:r>
    </w:p>
    <w:p>
      <w:pPr>
        <w:spacing w:before="240" w:after="240"/>
        <w:rPr>
          <w:lang w:val="el" w:eastAsia="el"/>
        </w:rPr>
      </w:pPr>
      <w:r>
        <w:rPr>
          <w:i/>
          <w:iCs/>
          <w:lang w:val="el" w:eastAsia="el"/>
        </w:rPr>
        <w:t>2. Αυτοτελές Τμήμα Υποστήριξης ΓΔΤΕΦΚ</w:t>
      </w:r>
    </w:p>
    <w:p>
      <w:pPr>
        <w:spacing w:before="240" w:after="240"/>
        <w:rPr>
          <w:lang w:val="el" w:eastAsia="el"/>
        </w:rPr>
      </w:pPr>
      <w:r>
        <w:rPr>
          <w:i/>
          <w:iCs/>
          <w:lang w:val="el" w:eastAsia="el"/>
        </w:rPr>
        <w:t>3. Δ/νση ΣΤΕΠ</w:t>
      </w:r>
    </w:p>
    <w:p>
      <w:pPr>
        <w:spacing w:before="240" w:after="240"/>
        <w:rPr>
          <w:lang w:val="el" w:eastAsia="el"/>
        </w:rPr>
      </w:pPr>
      <w:r>
        <w:rPr>
          <w:i/>
          <w:iCs/>
          <w:lang w:val="el" w:eastAsia="el"/>
        </w:rPr>
        <w:t>4. Δ/νση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Επισημαίνεται ότι η γνωμοδότηση αναφέρει ως δυνητική επιλογή (σελ. 17: </w:t>
      </w:r>
      <w:r>
        <w:rPr>
          <w:i/>
          <w:iCs/>
          <w:lang w:val="el" w:eastAsia="el"/>
        </w:rPr>
        <w:t xml:space="preserve">«… ελλείψει διάταξης που να προβλέπει άμεσο καταλογισμό σε βάρος τους, το Δημόσιο </w:t>
      </w:r>
      <w:r>
        <w:rPr>
          <w:b/>
          <w:bCs/>
          <w:i/>
          <w:iCs/>
          <w:u w:val="single"/>
          <w:lang w:val="el" w:eastAsia="el"/>
        </w:rPr>
        <w:t>μπορεί</w:t>
      </w:r>
      <w:r>
        <w:rPr>
          <w:i/>
          <w:iCs/>
          <w:lang w:val="el" w:eastAsia="el"/>
        </w:rPr>
        <w:t>να αναζητήσει μόνο με αγωγή αποζημίωσης …»</w:t>
      </w:r>
      <w:r>
        <w:rPr>
          <w:i/>
          <w:iCs/>
          <w:lang w:val="el" w:eastAsia="el"/>
        </w:rPr>
        <w:t>) την αναζήτηση με αγωγή αποζημίωσης από τους εποπτεύοντες τον ανήλικο γονείς, των διαφυγόντων δασμών, φόρων και λοιπών επιβαρύνσεων δυνάμει του άρθρου 923 ΑΚ.; Εξ αντιδιαστολής προκύπτει ότι, για το ποσό των πολλαπλών τελών της λαθρεμπορίας, το Δημόσιο δεν μπορεί ούτε να επιβάλει καταλογιστική πράξη σε βάρος των εποπτευόντων τον ανήλικο παραβάτη γονέων του, εφόσον αυτοί δεν συμμετείχαν στην τέλεση της λαθρεμπορίας, ούτε να λάβει αναγκαστικά μέτρα είσπραξης σε βάρος τους ούτε να αναζητήσει τα ποσά αυτά με αγωγή αποζημίωσης από αυτούς, δυνάμει του άρθρου 923 ΑΚ.</w:t>
      </w:r>
    </w:p>
  </w:footnote>
  <w:footnote w:id="3">
    <w:p>
      <w:pPr>
        <w:pStyle w:val="Footnotes"/>
        <w:spacing w:before="240" w:after="240"/>
        <w:rPr>
          <w:rStyle w:val="Hyperlink"/>
          <w:i/>
          <w:iCs/>
          <w:color w:val="0000EE"/>
          <w:sz w:val="20"/>
          <w:szCs w:val="20"/>
          <w:u w:val="single" w:color="0000EE"/>
          <w:vertAlign w:val="superscript"/>
          <w:lang w:val="el" w:eastAsia="el"/>
        </w:rPr>
      </w:pPr>
      <w:r>
        <w:rPr>
          <w:rStyle w:val="FootnoteReference"/>
          <w:i/>
          <w:iCs/>
          <w:color w:val="000000"/>
          <w:sz w:val="20"/>
          <w:szCs w:val="20"/>
          <w:u w:val="none" w:color="0000EE"/>
          <w:vertAlign w:val="superscript"/>
          <w:lang w:val="el" w:eastAsia="el"/>
        </w:rPr>
        <w:footnoteRef/>
      </w:r>
      <w:r>
        <w:rPr>
          <w:i/>
          <w:iCs/>
          <w:lang w:val="el" w:eastAsia="el"/>
        </w:rPr>
        <w:t xml:space="preserve"> Τα αναφερόμενα στην ανωτέρω υποσημείωση ισχύουν και στην περίπτωση των γονέων ανηλίκου που διέπραξε λαθρεμπορία, ενώ είχε συμπληρώσει το 15 έτος της ηλικίας του.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stepoffences@aade.gr" TargetMode="External" /><Relationship Id="rId6" Type="http://schemas.openxmlformats.org/officeDocument/2006/relationships/hyperlink" Target="mailto:dtd@aade.gr" TargetMode="External" /><Relationship Id="rId7" Type="http://schemas.openxmlformats.org/officeDocument/2006/relationships/hyperlink" Target="http://www.aade.gr/" TargetMode="External" /><Relationship Id="rId8" Type="http://schemas.openxmlformats.org/officeDocument/2006/relationships/hyperlink" Target="&#962;" TargetMode="External" /><Relationship Id="rId9" Type="http://schemas.openxmlformats.org/officeDocument/2006/relationships/hyperlink" Target="&#9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