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sz w:val="30"/>
          <w:szCs w:val="30"/>
          <w:vertAlign w:val="subscript"/>
          <w:lang w:val="el" w:eastAsia="el"/>
        </w:rPr>
        <w:t>■</w:t>
      </w:r>
      <w:r>
        <w:rPr>
          <w:b/>
          <w:bCs/>
          <w:lang w:val="el" w:eastAsia="el"/>
        </w:rPr>
        <w:t xml:space="preserve"> ΛΑΔΕ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giA^S </w:t>
      </w:r>
      <w:r>
        <w:rPr>
          <w:lang w:val="el" w:eastAsia="el"/>
        </w:rPr>
        <w:t>Δημοσίων Εσόδω</w:t>
      </w:r>
      <w:r>
        <w:rPr>
          <w:b/>
          <w:bCs/>
          <w:lang w:val="el" w:eastAsia="el"/>
        </w:rPr>
        <w:t>νθΓΙΚΗΣ ΔΙΟΙΚΗΣΗΣ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: 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213 2122400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 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deef.a @ aade.gr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 :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Θέμα: </w:t>
      </w:r>
      <w:r>
        <w:rPr>
          <w:lang w:val="el" w:eastAsia="el"/>
        </w:rPr>
        <w:t>Συμπληρωματικές οδηγίες ως προς την υποχρέωση διακανονισμού φόρου εισροών για επενδυτικό αγαθό που δεν ετέθη σε λειτουργία εντός 5ετίας από την απόκτηση του (άρθρο 33 ΚΦΠΑ).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συνέχεια της εγκυκλίου Ε. 2200/2019 αναφορικά με την υποχρέωση του υποκειμένου προς διακανονισμό του φόρου εισροών επενδυτικού αγαθού που δεν χρησιμοποιήθηκε εντός 5ετίας από την πραγματοποίηση της δαπάνης για απόκτηση ή κατασκευή αυτού, και δεδομένων των νέων παρατάσεων των προθεσμιών ολοκλήρωσης των επενδυτικών σχεδίων που έχουν υπαχθεί στους νόμους 3299/2004 (Α΄ 261) και 3908/2011 (Α΄ 8), όπως μας γνώρισε το Υπ. Ανάπτυξης, παρέχουμε τις ακόλουθες συμπληρωματικές οδηγίες: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το άρθρο 40 παρ. 1 περ. ζ του ν. 4712/2020 (Α΄ 146) αντικαταστάθηκε το άρθρο 76 του νόμου 4399/2016, το οποίο αναφέρεται στις παρατάσεις προθεσμιών ολοκλήρωσης των επενδυτικών σχεδίων που έχουν υπαχθεί στους νόμους 3299/2004 και 3908/2011.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τις νέες ρυθμίσεις έλαβαν οριζόντιες παρατάσεις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Μέχρι την 31-12-2021, </w:t>
      </w:r>
      <w:r>
        <w:rPr>
          <w:lang w:val="el" w:eastAsia="el"/>
        </w:rPr>
        <w:t xml:space="preserve">τα επενδυτικά σχέδια που έχουν υπαχθεί στις διατάξεις του </w:t>
      </w:r>
      <w:r>
        <w:rPr>
          <w:b/>
          <w:bCs/>
          <w:lang w:val="el" w:eastAsia="el"/>
        </w:rPr>
        <w:t>ν 3299/2004</w:t>
      </w:r>
      <w:r>
        <w:rPr>
          <w:lang w:val="el" w:eastAsia="el"/>
        </w:rPr>
        <w:t>, με την προϋπόθεση να είχε υλοποιηθεί, μέχρι την 31-03-2017, το εγκεκριμένο κόστος τους σε ποσοστό 50%.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Μέχρι την 31-12-2021, </w:t>
      </w:r>
      <w:r>
        <w:rPr>
          <w:lang w:val="el" w:eastAsia="el"/>
        </w:rPr>
        <w:t xml:space="preserve">τα επενδυτικά σχέδια που έχουν υπαχθεί στις διατάξεις του </w:t>
      </w:r>
      <w:r>
        <w:rPr>
          <w:b/>
          <w:bCs/>
          <w:lang w:val="el" w:eastAsia="el"/>
        </w:rPr>
        <w:t>ν 3908/2011.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δικαιολογητικά που οφείλουν να έχουν οι υποκείμενες στον φόρο επιχειρήσεις προκειμένου να αποδεικνύουν το δικαίωμα παράτασης ολοκλήρωσης του επενδυτικού σχεδίου, ώστε να μην υπάρχει η υποχρέωση διακανονισμού του φόρου, είναι τα παρακάτω: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Για τα επενδυτικά σχέδια που έχουν υπαχθεί στον </w:t>
      </w:r>
      <w:r>
        <w:rPr>
          <w:b/>
          <w:bCs/>
          <w:lang w:val="el" w:eastAsia="el"/>
        </w:rPr>
        <w:t>ν. 3299/2004</w:t>
      </w:r>
      <w:r>
        <w:rPr>
          <w:lang w:val="el" w:eastAsia="el"/>
        </w:rPr>
        <w:t xml:space="preserve">, ο φορέας της επένδυσης θα πρέπει να προσκομίσει την </w:t>
      </w:r>
      <w:r>
        <w:rPr>
          <w:b/>
          <w:bCs/>
          <w:lang w:val="el" w:eastAsia="el"/>
        </w:rPr>
        <w:t xml:space="preserve">σχετική απόφαση υπαγωγής </w:t>
      </w:r>
      <w:r>
        <w:rPr>
          <w:lang w:val="el" w:eastAsia="el"/>
        </w:rPr>
        <w:t xml:space="preserve">στις διατάξεις του ως άνω νόμου, καθώς </w:t>
      </w:r>
      <w:r>
        <w:rPr>
          <w:b/>
          <w:bCs/>
          <w:lang w:val="el" w:eastAsia="el"/>
        </w:rPr>
        <w:t xml:space="preserve">και σχετική βεβαίωση </w:t>
      </w:r>
      <w:r>
        <w:rPr>
          <w:lang w:val="el" w:eastAsia="el"/>
        </w:rPr>
        <w:t>από τον αρμόδιο φορέα υποδοχής και έγκρισης του επενδυτικού σχεδίου, ότι το επενδυτικό του σχέδιο δικαιούται παράτασης (μέχρι 31-12-2021).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Για τα επενδυτικά σχέδια που έχουν υπαχθεί στον </w:t>
      </w:r>
      <w:r>
        <w:rPr>
          <w:b/>
          <w:bCs/>
          <w:lang w:val="el" w:eastAsia="el"/>
        </w:rPr>
        <w:t xml:space="preserve">ν. 3908/2011, </w:t>
      </w:r>
      <w:r>
        <w:rPr>
          <w:lang w:val="el" w:eastAsia="el"/>
        </w:rPr>
        <w:t xml:space="preserve">αρκεί ο φορέας της επένδυσης να προσκομίσει την </w:t>
      </w:r>
      <w:r>
        <w:rPr>
          <w:b/>
          <w:bCs/>
          <w:lang w:val="el" w:eastAsia="el"/>
        </w:rPr>
        <w:t xml:space="preserve">σχετική απόφαση υπαγωγής </w:t>
      </w:r>
      <w:r>
        <w:rPr>
          <w:lang w:val="el" w:eastAsia="el"/>
        </w:rPr>
        <w:t>της επιχείρησης στις διατάξεις του ως άνω νόμου.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λοιπά, ισχύουν οι οδηγίες που έχουν δοθεί με την εγκύκλιο Ε. 2200/2019.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Γ΄, πλην του αριθμ.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Διευθυνση Στρατηγικής Τεχνολογιών Πληροφορικής για ανάρτηση στην ιστοσελίδα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μόνο οι αριθ. 1 και 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Γ΄, μόνο ο αριθμ.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Δ΄.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433"/>
        <w:gridCol w:w="433"/>
        <w:gridCol w:w="559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αριθ.4 περ. ιε΄, 5 , 10,17 και 18.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Γραφείο Υπουργού Οικονομικών κ. Χ. Σταικούρα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Γραφείο Υφυπουργού Οικονομικών κ. Α. Βεσυρόπουλου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Γραφείο Γεν. Γραμματέα Οικονομικής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Γραφείο Γεν. Γραμματέα Φορολογικής Πολιτικής και Δημ.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Γραφείο Υπουργού Ανάπτυξης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Διοικητού ΑΑΔΕ.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κ. Γενικών Διευθυντών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ef.a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