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ΕΠΕΙΓΟΝ</w:t>
      </w:r>
    </w:p>
    <w:p>
      <w:pPr>
        <w:pStyle w:val="Title"/>
        <w:spacing w:before="120" w:after="360"/>
        <w:rPr>
          <w:lang w:val="el" w:eastAsia="el"/>
        </w:rPr>
      </w:pPr>
      <w:r>
        <w:rPr>
          <w:b/>
          <w:bCs/>
          <w:lang w:val="el" w:eastAsia="el"/>
        </w:rPr>
        <w:t>ΑΝΑΡΤΗΤΕΑ ΣΤΟ ΔΙΑΔΙ</w:t>
      </w:r>
    </w:p>
    <w:p>
      <w:pPr>
        <w:pStyle w:val="Title"/>
        <w:spacing w:before="120" w:after="360"/>
        <w:rPr>
          <w:lang w:val="el" w:eastAsia="el"/>
        </w:rPr>
      </w:pPr>
      <w:r>
        <w:rPr>
          <w:b/>
          <w:bCs/>
          <w:lang w:val="el" w:eastAsia="el"/>
        </w:rPr>
        <w:t>ΑΔΑ:9Ω4Π46ΜΠ3Ζ-</w:t>
      </w:r>
    </w:p>
    <w:p>
      <w:pPr>
        <w:spacing w:before="240" w:after="240"/>
        <w:rPr>
          <w:lang w:val="el" w:eastAsia="el"/>
        </w:rPr>
      </w:pPr>
      <w:r>
        <w:rPr>
          <w:b/>
          <w:bCs/>
          <w:lang w:val="el" w:eastAsia="el"/>
        </w:rPr>
        <w:t>Αθήνα, 28/04/2021</w:t>
      </w:r>
    </w:p>
    <w:p>
      <w:pPr>
        <w:spacing w:before="240" w:after="240"/>
        <w:rPr>
          <w:lang w:val="el" w:eastAsia="el"/>
        </w:rPr>
      </w:pPr>
      <w:r>
        <w:rPr>
          <w:b/>
          <w:bCs/>
          <w:lang w:val="el" w:eastAsia="el"/>
        </w:rPr>
        <w:t>Αρ. πρωτ.: Ε.2087</w:t>
      </w:r>
    </w:p>
    <w:p>
      <w:pPr>
        <w:spacing w:before="240" w:after="240"/>
        <w:rPr>
          <w:lang w:val="el" w:eastAsia="el"/>
        </w:rPr>
      </w:pPr>
      <w:r>
        <w:rPr>
          <w:b/>
          <w:bCs/>
          <w:lang w:val="el" w:eastAsia="el"/>
        </w:rPr>
        <w:t>ΠΡΟΣ: Ως Π.Δ.</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210-3375315-316</w:t>
      </w:r>
    </w:p>
    <w:p>
      <w:pPr>
        <w:spacing w:before="240" w:after="240"/>
        <w:rPr>
          <w:lang w:val="el" w:eastAsia="el"/>
        </w:rPr>
      </w:pPr>
      <w:hyperlink r:id="rId4" w:history="1">
        <w:r>
          <w:rPr>
            <w:rStyle w:val="Hyperlink"/>
            <w:color w:val="0000EE"/>
            <w:u w:color="0000EE"/>
            <w:lang w:val="el" w:eastAsia="el"/>
          </w:rPr>
          <w:t>d12.a @ yo.syzefxis.gov.gr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της με αριθ. 69/2021 γνωμοδότησης του Β΄ Τμήματος του Ν.Σ.Κ. για την φορολογική αντιμετώπιση της αποζημίωσης των εξόδων παράστασης που χορηγείται με τις διατάξεις της παρ. Α6 του άρθρου 30 και της παρ. Α6 του άρθρου 33 του ν. 3205/2003, στους δικαστές που φέρουν βαθμό Προέδρου, Αντιπροέδρου και Συμβούλου Επικρατείας ή αντίστοιχους και στα μέλη του κύριου προσωπικού του Νομικού Συμβουλίου του Κράτους που φέρουν το βαθμό του Προέδρου, Αντιπροέδρου και Συμβούλου, αντίστοιχα»</w:t>
      </w:r>
    </w:p>
    <w:p>
      <w:pPr>
        <w:spacing w:before="240" w:after="240"/>
        <w:rPr>
          <w:lang w:val="el" w:eastAsia="el"/>
        </w:rPr>
      </w:pPr>
      <w:r>
        <w:rPr>
          <w:lang w:val="el" w:eastAsia="el"/>
        </w:rPr>
        <w:t>Σας κοινοποιούμε για ενημέρωση και εφαρμογή, την με αριθ. 69/2021 Γνωμοδότηση του Β΄ Τμήματος του Ν.Σ.Κ., η οποία έγινε αποδεκτή από τον Διοικητή της Ανεξάρτητης Αρχής Δημοσίων Εσόδων.</w:t>
      </w:r>
    </w:p>
    <w:p>
      <w:pPr>
        <w:spacing w:before="240" w:after="240"/>
        <w:rPr>
          <w:lang w:val="el" w:eastAsia="el"/>
        </w:rPr>
      </w:pPr>
      <w:r>
        <w:rPr>
          <w:lang w:val="el" w:eastAsia="el"/>
        </w:rPr>
        <w:t>Με τη γνωμοδότηση αυτή γίνεται δεκτό ότι η αποζημίωση των εξόδων παράστασης που χορηγείται με τις διατάξεις της παρ. Α6 του άρθρου 30 και της παρ. Α6 του άρθρου 33 του ν. 3205/2003, στους δικαστές που φέρουν βαθμό Προέδρου, Αντιπροέδρου και Συμβούλου Επικρατείας ή αντίστοιχους και στα μέλη του κύριου προσωπικού του Νομικού Συμβουλίου του Κράτους που φέρουν το βαθμό του Προέδρου, Αντιπροέδρου και Συμβούλου, αντίστοιχα, δεν αποτελεί φορολογητέο εισόδημα κατά την έννοια των διατάξεων του άρθρου 78 παρ. 1 του Συντάγματος και των άρθρων 7 παρ. 1 και 14 του Κ.Φ.Ε., ούτε υπόκειται σε εισφορά αλληλεγγύης, ενώ για την εξαίρεσή της από τον υπολογισμό του εισοδήματος από μισθωτή εργασία, δεν απαιτείται η πραγματοποίηση των σχετικών δαπανών να αποδεικνύεται από νόμιμα παραστατικά.</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Στρατηγικής Τεχνολογιών Πληροφοριών (για ανάρτηση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κας Γενικής Γραμματέως Φορολογικής Πολιτικής &amp; Δημόσιας Περιουσίας</w:t>
      </w:r>
    </w:p>
    <w:p>
      <w:pPr>
        <w:spacing w:before="240" w:after="240"/>
        <w:rPr>
          <w:lang w:val="el" w:eastAsia="el"/>
        </w:rPr>
      </w:pPr>
      <w:r>
        <w:rPr>
          <w:lang w:val="el" w:eastAsia="el"/>
        </w:rPr>
        <w:t>4. Αποδέκτες πινάκων Α΄,(εκτός των αριθ. 2 και 3 αυτού), Β΄ (εκτός των αριθ. 1 και 2 αυτού), Ζ΄ (εκτός των αριθ.</w:t>
      </w:r>
    </w:p>
    <w:p>
      <w:pPr>
        <w:spacing w:before="240" w:after="240"/>
        <w:rPr>
          <w:lang w:val="el" w:eastAsia="el"/>
        </w:rPr>
      </w:pPr>
      <w:r>
        <w:rPr>
          <w:lang w:val="el" w:eastAsia="el"/>
        </w:rPr>
        <w:t>2 και 6 αυτού), Η’ (εκτός των αριθ. 4, 10 και 11 αυτού), Ι΄</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Γενικής Δ/ντριας Φορολογικής Διοίκησης</w:t>
      </w:r>
    </w:p>
    <w:p>
      <w:pPr>
        <w:spacing w:before="240" w:after="240"/>
        <w:rPr>
          <w:lang w:val="el" w:eastAsia="el"/>
        </w:rPr>
      </w:pPr>
      <w:r>
        <w:rPr>
          <w:lang w:val="el" w:eastAsia="el"/>
        </w:rPr>
        <w:t>3. Γραφείο Γενικής Δ/ντριας Ηλεκτρονικής Διακυβέρνησης</w:t>
      </w:r>
    </w:p>
    <w:p>
      <w:pPr>
        <w:spacing w:before="240" w:after="240"/>
        <w:rPr>
          <w:lang w:val="el" w:eastAsia="el"/>
        </w:rPr>
      </w:pPr>
      <w:r>
        <w:rPr>
          <w:lang w:val="el" w:eastAsia="el"/>
        </w:rPr>
        <w:t>4. Δ/νση Εφαρμογής Άμεσης Φορολογίας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