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ΕΛΛΗΝΙΚΗ ΔΗΜΟ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Α.ΓΕΝΙΚΗ ΔΙΕΥΘΥΝΣΗ ΦΟΡΟΛΟΓΙΚΗΣ ΔΙΟΙΚΗΣΗΣ ΔΙΕΥΘΥΝΣΗ ΕΦΑΡΜΟΓΗΣ ΕΜΜΕΣΗΣ ΦΟΡΟΛΟΓΙΑΣ ΤΜΗΜΑ Α΄ Φ.Π.Α.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9"/>
        <w:gridCol w:w="498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Σίνα 2-4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10672,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2132122400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2106987417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deef.a@aade.gr</w:t>
              </w:r>
            </w:hyperlink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 vat-customs @aade.gr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ΓΕΝΙΚΗ ΔΙΕΥΘΥΝΣΗ ΤΕΛΩΝΕΙΩΝ ΚΑΙ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ΕΦΚ &amp;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Ε: ΦΠΑ ΕΙΣΑΓΩΓΩΝ – ΕΞΑΓΩΓΩΝ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1. Κοινοποίηση των διατάξεων των άρθρων δέκατου και ενδέκατου του ν. 4787/2021 «</w:t>
      </w:r>
      <w:r>
        <w:rPr>
          <w:b/>
          <w:bCs/>
          <w:i/>
          <w:iCs/>
          <w:lang w:val="el" w:eastAsia="el"/>
        </w:rPr>
        <w:t>Κύρωση Σύμβασης Διανομής Ακινήτου - Σύστασης Δικαιώματος Επιφανείας Ακινήτου Μητροπολιτικού Πόλου Ελληνικού - Αγίου Κοσμά, ρύθμιση συναφών θεμάτων και άλλες διατάξεις»,</w:t>
      </w:r>
      <w:r>
        <w:rPr>
          <w:b/>
          <w:bCs/>
          <w:lang w:val="el" w:eastAsia="el"/>
        </w:rPr>
        <w:t xml:space="preserve"> Α΄44/26.3.2021.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Κοινοποίηση των διατάξεων του άρθρου είκοσι επτά του Ν.4797/2021 «Κρατική αρωγή προς επιχειρήσεις και μη κερδοσκοπικού χαρακτήρα φορείς για θεομηνίες, επείγουσες ρυθμίσεις για τη στήριξη της οικονομίας, συμπληρωματικός κρατικός προϋπολογισμός και συνταξιοδοτική ρύθμιση», Α’66/23.4.2021.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  <w:r>
        <w:rPr>
          <w:lang w:val="el" w:eastAsia="el"/>
        </w:rPr>
        <w:t>. Σας κοινοποιούμε συνημμένα τις διατάξεις των άρθρων δέκατου και ενδέκατου του ν 4787/2021, και παρέχουμε τις ακόλουθες διευκρινίσεις: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τις διατάξεις του δέκατου άρθρου του ν. 4787/2021 αντικαθίσταται η παρ. 2 του άρθρου πρώτου της από 20.3.2020 Πράξης Νομοθετικού Περιεχομένου (Α΄ 68), η οποία κυρώθηκε με το άρθρο 1 του ν. 4683/2020 (Α΄ 83) και παρατείνεται έως και την 31η.12.2021 η εφαρμογή του υπερμειωμένου συντελεστή ΦΠΑ έξι τοις εκατό (6%) στα είδη της παραγράφου 50 του Κεφαλαίου Α. ΑΓΑΘΑ του Παραρτήματος ΙΙΙ του Κώδικα ΦΠΑ (κυρ. ν. 2859/2000).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Με τις διατάξεις του ενδέκατου άρθρου του ν. 4787/2021 αντικαθίσταται εκ νέου η παρ. 2 του άρθρου 11 του ν. 4690/2020 (Α΄ 104), όπως αυτή είχε αντικατασταθεί με τις διατάξεις του άρθρου 10 του ν 4728/2020 (Α΄ 186), και παρατείνεται έως και την 30ή.9.2021 η εφαρμογή των μειωμένων συντελεστών ΦΠΑ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στα είδη της παραγράφου 51 του Κεφαλαίου Α. ΑΓΑΘΑ του Παραρτήματος ΙΙΙ του Κώδικα ΦΠΑ,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στις υπηρεσίες των παραγράφων 1, 1 α και 6 του Κεφαλαίου Β. ΥΠΗΡΕΣΙΕΣ του Παραρτήματος ΙΙΙ του Κώδικα ΦΠΑ. Ειδικότερα, όσον αφορά τις υπηρεσίες της παραγράφου 1 του Κεφαλαίου Β ΥΠΗΡΕΣΙΕΣ του Παραρτήματος ΙΙΙ του Κώδικα ΦΠΑ σημειώνεται ότι η παράταση της εφαρμογής του μειωμένου συντελεστή ΦΠΑ 13% έως και την 30η.9.2021 εφαρμόζεται μόνο στα εισιτήρια των κινηματογράφων.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Επισημαίνεται ότι οι οδηγίες που έχουν δοθεί με τις εγκυκλίους Ε.2080/2020 και ΔΕΦΚ Ε 1123676 ΕΞ 2020 του Διοικητή της Ανεξάρτητης Αρχής Δημοσίων Εσόδων για την κοινοποίηση των ν. 4690/2020 και ν. 4728/2020 αντίστοιχα, συνεχίζουν να ισχύουν, πλην της αναφερόμενης σε αυτές λήξη της διάρκειας εφαρμογής η οποία με τον παρόντα νόμο ορίζεται ότι είναι η 30η.9.2021.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Επιπρόσθετα, αναφορικά με την εφαρμογή των συντελεστών ΦΠΑ από ξενοδοχειακές επιχειρήσεις που παρέχουν υπηρεσίες διαμονής και εστίασης ή και άλλες υπηρεσίες έναντι ενιαίας τιμής της οποίας ο διαχωρισμός στους επί μέρους συντελεστές δεν είναι εφικτός, εξακολουθούν να ισχύουν έως και την 30.9.2021 τα όσα έχουν ήδη γίνει δεκτά και αναφέρονται στις ανωτέρω αναφερόμενες εγκυκλίους.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</w:t>
      </w:r>
      <w:r>
        <w:rPr>
          <w:lang w:val="el" w:eastAsia="el"/>
        </w:rPr>
        <w:t>. Σας κοινοποιούμε συνημμένα τις διατάξεις άρθρου είκοσι επτά του ν. 4797/2021, και παρέχουμε τις ακόλουθες διευκρινίσεις: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διατάξεις του άρθρου είκοσι επτά του ν.4797/2021 τροποποιείται η παράγραφος 47 του Κεφαλαίου Α΄ του Παραρτήματος ΙΙΙ του Κώδικα ΦΠΑ (κυρ. ν. 2859/2000) και υπάγονται σε υπερμειωμένο συντελεστή ΦΠΑ 6% τα φίλτρα και οι γραμμές αιμοκάθαρσης, αιμοδιήθησης, αιμοδιαδιήθησης και πλασμαφαίρεσης. Η εφαρμογή του υπερμειωμένου συντελεστή του προηγούμενου εδαφίου εφαρμόζεται έως και την 31η.12.2021 ενώ μετά την ημερομηνία αυτήν τα είδη αυτά υπάγονται στον μειωμένο συντελεστή ΦΠΑ 13%.»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Συν:</w:t>
      </w:r>
      <w:r>
        <w:rPr>
          <w:lang w:val="el" w:eastAsia="el"/>
        </w:rPr>
        <w:t xml:space="preserve"> α. Απόσπασμα του ΦΕΚ Α΄ 44/26-3-2021: διατάξεις των άρθρων δέκατου και ενδέκατου του ν. 4787/2021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Απόσπασμα του ΦΕΚ Α΄ 66/23-4-2021: διατάξεις του άρθρου είκοσι επτά του ν. 4797/2021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Διοικητής της Ανεξάρτητης ΑρχήςΔημοσίων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Στρατηγικής Τεχνολογιών Πληροφορικής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μόνο οι αριθ. 1 και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Γ΄, μόνο ο αριθμ.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Δ΄.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» » Ζ΄.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434"/>
        <w:gridCol w:w="434"/>
        <w:gridCol w:w="399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αριθμ 10,17 και 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 Οικονομικών κ. Χ. Σταικούρα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Γραφείο Υφυπουργού Οικονομικών κ. Α. Βεσυρόπουλου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Γραφείο Γεν. Γραμματέα Φορολογικής Πολιτικής και Δημ.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Γραφείο Υπουργού Ανάπτυξης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Διοικητού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κ. Γενικών Διευθυντών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