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 6Α4Ν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18 Μαΐου 2021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Πρωτ.: Ε. 2103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 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Τηλέφωνο: 210 3375314 – 318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d12.a@yo.syzefxis.gov.gr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URL: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Εφαρμογή των διατάξεων της παρ. 1 του άρθρου 16 του ν. 4172/2013 (Α΄ 167) - Μείωση φόρου για εξαρτώμενα τέκνα σε περίπτωση διακοπής της έγγαμης συμβίωσης ή λύσης του γάμου ή του συμφώνου συμβίωσης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Σχετικά με το πιο πάνω θέμα, σας γνωρίζουμε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τις διατάξεις του άρθρου 16 του ν. 4172/2013 (εφεξής ΚΦΕ) ορίζεται ότι ο φόρος που προκύπτει κατά την εφαρμογή του άρθρου 15 του αυτού νόμου για το εισόδημα από μισθωτή εργασία και συντάξεις ή και ατομική αγροτική δραστηριότητα μειώνεται ανάλογα με τον αριθμό των εξαρτώμενων τέκνων του φορολογουμένου.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Με τις διατάξεις της περ. β΄ της παρ. 1 του άρθρου 11 του ΚΦΕ ως εξαρτώμενα μέλη του φορολογουμένου θεωρούνται τα άγαμα τέκνα αυτού εφόσον είναι ανήλικα έως 18 ετών, ή είναι ενήλικα έως 25 ετών και φοιτούν σε σχολές ή σχολεία ή ινστιτούτα επαγγελματικής εκπαίδευσης ή κατάρτισης της ημεδαπής ή της αλλοδαπής, ή είναι ενήλικα έως 25 ετών και είναι εγγεγραμμένα στα μητρώα ανέργων του Ο.Α.Ε.Δ. ή υπηρετούν τη στρατιωτική τους θητεία. Επιπλέον, με την παρ. 1 του άρθρου 11 του ΚΦΕ έχει οριστεί μεταξύ άλλων ότι εξαρτώμενα μέλη του φορολογούμενου θεωρούνται και τα τέκνα αυτού με ποσοστό νοητικής ή σωματικής αναπηρίας τουλάχιστον 67% εφόσον είναι άγαμα, διαζευγμένα ή σε χηρεία. Στην παρ. 2 του άρθρου 11 ορίζονται οι περιπτώσεις που τα ανωτέρω πρόσωπα δε θεωρούνται εξαρτώμενα μέλη του φορολογούμενου.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Δεδομένου ότι στην ανατροφή των τέκνων συμμετέχουν από κοινού και οι δύο γονείς, ανεξάρτητα αν διαμένουν κάτω από την ίδια στέγη ή έχει διακοπεί η έγγαμη συμβίωση ή έχει λυθεί ο γάμος / το σύμφωνο συμβίωσης, οι διατάξεις της παρ. 1 του άρθρου 16 του ΚΦΕ για τη μείωση του φόρου ανάλογα με τον αριθμό των εξαρτώμενων τέκνων εφαρμόζονται και για τους δύο γονείς με εισόδημα από μισθωτή εργασία, συντάξεις ή και ατομική αγροτική δραστηριότητα.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Τα ανωτέρω εφαρμόζονται και για παρακρατήσεις φόρου που διενεργούνται στο εισόδημα από μισθωτή εργασία και συντάξεις από τη δημοσίευση της παρούσας και μετά.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Πίνακας 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Στρατηγικής Τεχνολογιών Πληροφορικής (με την παράκληση ανάρτησης στο site και την ηλεκτρονική βιβλιοθήκη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Επιχειρησιακών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Ανάπτυξης Φορολογικών Εφαρμογών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Γενικής Γραμματέως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Επιχειρησιακή Διεύθυνση ΣΔΟΕ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Επιχειρησιακή Διεύθυνση ΣΔΟΕ Μακεδονίας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Πίνακας Α’ (εκτός αριθμών 2,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Πίνακες Β’, Η’, Θ’, Ι’, ΙΑ’, ΙΘ’, Κ’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Συνήγορος του Πολίτη, Χαλκοκονδύλη 17, Τ.Κ. 104 32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Γενική Διεύθυνση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Γενική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Εφαρμογής Άμεσης Φορολογίας - Τμήματα Α΄ - Β΄ -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2.a@yo.syzefxis.gov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