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ΩΗΤ446</w:t>
      </w:r>
    </w:p>
    <w:p>
      <w:pPr>
        <w:spacing w:before="240" w:after="240"/>
        <w:rPr>
          <w:lang w:val="el" w:eastAsia="el"/>
        </w:rPr>
      </w:pPr>
      <w:r>
        <w:rPr>
          <w:b/>
          <w:bCs/>
          <w:lang w:val="el" w:eastAsia="el"/>
        </w:rPr>
        <w:t>ΘΕΜΑ: «Διευκρινήσεις σχετικά με την υποβολή εκδήλωσης ενδιαφέροντος για την ενίσχυση με τη μορφή επιδότησης παγίων δαπανών για μη καλυπτόμενες δαπάνες».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την προϋπόθεση ii’ της υποπερ. δδ’ της περ. β’ της παρ. 1 του άρθρου 1 της ΚΥΑ ΓΔΟΥ 504/2021 (ΦΕΚ Β΄2236) για τη λήψη ενίσχυσης με τη μορφή επιδότησης παγίων δαπανών, για μη καλυπτόμενες πάγιες δαπάνες, για το διάστημα από 1η Απριλίου 2020 ως και 31η Δεκεμβρίου 2020, υποβάλλουν εκδήλωση ενδιαφέροντος στη διαδικτυακή ηλεκτρονική πλατφόρμα με τίτλο «myBusinessSupport» της Ανεξάρτητης Αρχής Δημοσίων Εσόδων (ΑΑΔΕ), επιχειρήσεις οι οποίες έχουν πληγεί οικονομικά λόγω της εμφάνισης και διάδοσης του κορωνοϊού COVID-19 και οι οποίες, μεταξύ άλλων, έχουν υποβάλει τη δήλωση φορολογίας εισοδήματος για το φορολογικό έτος 2020, έως και την προθεσμία της παρ.7 της υπόψη ΚΥΑ, εφόσον τηρούν διαχειριστική χρήση που λήγει την 31η Δεκεμβρίου.</w:t>
      </w:r>
    </w:p>
    <w:p>
      <w:pPr>
        <w:spacing w:before="240" w:after="240"/>
        <w:rPr>
          <w:lang w:val="el" w:eastAsia="el"/>
        </w:rPr>
      </w:pPr>
      <w:r>
        <w:rPr>
          <w:lang w:val="el" w:eastAsia="el"/>
        </w:rPr>
        <w:t>2. Με βάση την παρ. 7 του άρθρου 1 της πιο πάνω ΚΥΑ η εκδήλωση ενδιαφέροντος και τα ως άνω συνοδευτικά στοιχεία υποβάλλονται στην πλατφόρμα έως την 17η Ιουνίου 2021 και ώρα 23:59:59.</w:t>
      </w:r>
    </w:p>
    <w:p>
      <w:pPr>
        <w:spacing w:before="240" w:after="240"/>
        <w:rPr>
          <w:lang w:val="el" w:eastAsia="el"/>
        </w:rPr>
      </w:pPr>
      <w:r>
        <w:rPr>
          <w:lang w:val="el" w:eastAsia="el"/>
        </w:rPr>
        <w:t>3. Περαιτέρω με τις παραγράφους 64 και 65 του άρθρου 72 του ν. 4172/2013 (ΚΦΕ) οι δηλώσεις φορολογίας εισοδήματος φυσικών προσώπων φορολογικού έτους 2020 καθώς και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w:t>
      </w:r>
    </w:p>
    <w:p>
      <w:pPr>
        <w:spacing w:before="240" w:after="240"/>
        <w:rPr>
          <w:lang w:val="el" w:eastAsia="el"/>
        </w:rPr>
      </w:pPr>
      <w:r>
        <w:rPr>
          <w:lang w:val="el" w:eastAsia="el"/>
        </w:rPr>
        <w:t xml:space="preserve">4. Με βάση τα ανωτέρω με την παρούσα γίνεται δεκτό, για λόγους ομοιόμορφης εφαρμογής, ότι προκειμένου για τις επιχειρήσεις που δικαιούνται να υποβάλουν αίτηση εκδήλωσης ενδιαφέροντος για την υπαγωγή στο μέτρο της ενίσχυσης με τη μορφή επιδότησης παγίων δαπανών, απαιτείται η </w:t>
      </w:r>
      <w:r>
        <w:rPr>
          <w:b/>
          <w:bCs/>
          <w:lang w:val="el" w:eastAsia="el"/>
        </w:rPr>
        <w:t>οριστικοποίηση του εντύπου Ε3</w:t>
      </w:r>
      <w:r>
        <w:rPr>
          <w:lang w:val="el" w:eastAsia="el"/>
        </w:rPr>
        <w:t xml:space="preserve">, </w:t>
      </w:r>
      <w:r>
        <w:rPr>
          <w:b/>
          <w:bCs/>
          <w:lang w:val="el" w:eastAsia="el"/>
        </w:rPr>
        <w:t xml:space="preserve">ανεξάρτητα της υποβολής δήλωσης φορολογίας εισοδήματος </w:t>
      </w:r>
      <w:r>
        <w:rPr>
          <w:lang w:val="el" w:eastAsia="el"/>
        </w:rPr>
        <w:t>φυσικών και νομικών προσώπων ή νομικών οντοτήτων, η οποία σε κάθε περίπτωση δύναται να οριστικοποιηθεί μέχρι την 27η Αυγούστου 2021.</w:t>
      </w:r>
    </w:p>
    <w:p>
      <w:pPr>
        <w:spacing w:before="240" w:after="240"/>
        <w:rPr>
          <w:lang w:val="el" w:eastAsia="el"/>
        </w:rPr>
      </w:pPr>
      <w:r>
        <w:rPr>
          <w:lang w:val="el" w:eastAsia="el"/>
        </w:rPr>
        <w:t xml:space="preserve">5. Για σκοπούς χορήγησης της υπόψη ενίσχυσης, </w:t>
      </w:r>
      <w:r>
        <w:rPr>
          <w:b/>
          <w:bCs/>
          <w:lang w:val="el" w:eastAsia="el"/>
        </w:rPr>
        <w:t xml:space="preserve">θα ληφθούν υπόψη </w:t>
      </w:r>
      <w:r>
        <w:rPr>
          <w:lang w:val="el" w:eastAsia="el"/>
        </w:rPr>
        <w:t xml:space="preserve">τα δεδομένα του εντύπου Ε3, όπως αυτό </w:t>
      </w:r>
      <w:r>
        <w:rPr>
          <w:b/>
          <w:bCs/>
          <w:lang w:val="el" w:eastAsia="el"/>
        </w:rPr>
        <w:t xml:space="preserve">θα έχει οριστικοποιηθεί </w:t>
      </w:r>
      <w:r>
        <w:rPr>
          <w:lang w:val="el" w:eastAsia="el"/>
        </w:rPr>
        <w:t>κατά τη λήξη της προθεσμίας της παρ. 7 του άρθρου 1 της πιο πάνω ΚΥΑ.</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w:t>
      </w:r>
    </w:p>
    <w:p>
      <w:pPr>
        <w:spacing w:before="240" w:after="240"/>
        <w:rPr>
          <w:lang w:val="el" w:eastAsia="el"/>
        </w:rPr>
      </w:pPr>
      <w:r>
        <w:rPr>
          <w:lang w:val="el" w:eastAsia="el"/>
        </w:rPr>
        <w:t>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