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 6ΗΕΥ46ΜΠ3Ζ-7ΨΞ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Αναφορικά με το πιο πάνω θέμα, σας γνωρίζουμε ότι το εισπραττόμενο ποσό που αφορά «Αντιστάθμισμα Νησιωτικού Κόστους» για επιδότηση επιχειρήσεων που ασκούν αγροτική δραστηριότητα, καταχωρείται στον </w:t>
      </w:r>
      <w:r>
        <w:rPr>
          <w:b/>
          <w:bCs/>
          <w:lang w:val="el" w:eastAsia="el"/>
        </w:rPr>
        <w:t xml:space="preserve">νέο κωδ. 396 </w:t>
      </w:r>
      <w:r>
        <w:rPr>
          <w:lang w:val="el" w:eastAsia="el"/>
        </w:rPr>
        <w:t>του πίνακα Ζ3 του εντύπου και αναγράφεται και στον κωδ. 370 του Πίνακα Ζ1.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Διευκρινίζεται ότι δεν είναι υποχρεωτική η υποβολή τροποποιητικών δηλώσεων για τις ήδη υποβληθείσες δηλώσεις μέχρι την έκδοση της παρούσας.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Επιχειρησιακή Δ/νση ΣΔΟΕ Αττικής &amp; Επιχειρησιακή Δ/νση ΣΔΟΕ Μακεδονίας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Γενική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Στρατηγικής Τεχνολογιών Πληροφορικής (με την παράκληση να αναρτηθεί στην ιστοσελίδα της ΑΑΔΕ και στην Ηλεκτρονική Βιβλιοθήκη της ΑΑΔΕ)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Α΄, Β΄ (εκτός των αριθ.1 και 2 αυτού), Ζ΄, Η΄, Θ΄, Ι΄,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Υπουργείο Ανάπτυξης και Επενδύσεων, Γενική Γραμματεία Εμπορίου &amp; Προστασίας Καταναλωτή, Γενική Δ/νση Αγοράς, Δ/νση Εταιρειών,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Υπουργείο Οικονομικών, Επιτροπή Λογιστικής Τυποποίησης και Ελέγχων (ΕΛΤΕ), Βουλής 7 – Τ.Κ. 105 62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ΔΤΔ – Εγκεκριμένοι Οικονομικοί Φορείς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Γενικής Γραμματέως Φορολογικής Πολιτικής και Δημόσιας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κας. Γενικής Διευθύντριας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κ.κ.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Εφαρμογής Άμεσης Φορολογίας - Τμήματα Α΄, Β΄,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Επιχειρησιακών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Διεύθυνση Ανάπτυξης Φορολογικών Εφαρμογών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