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ΑΔΑΕ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Ανεξάρτητη Αρχή Δημοσίων Εσόδων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ΕΞ. ΕΠΕΙΓΟΝ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ΑΝΑΡΤΗΤΕΑ ΣΤΟ ΔΙΑΔΙΚΤΥΟ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ΤΕΛΩΝΕΙΩΝ &amp; ΕΦΚ ΔΙΕΥΘΥΝΣΗ ΔΑΣΜΟΛΟΓΙΚΩΝ ΘΕΜΑΤΩΝ ΕΙΔΙΚΩΝ ΚΑΘΕΣΤΩΤΩΝ ΚΑΙ ΑΠΑΛΛΑΓΩΝ ΤΜΗΜΑ Γ’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Καρ. Σερβίας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101 84 Αθήνα 210 6987503</w:t>
      </w:r>
    </w:p>
    <w:p>
      <w:pPr>
        <w:spacing w:before="240" w:after="240"/>
        <w:rPr>
          <w:lang w:val="el" w:eastAsia="el"/>
        </w:rPr>
      </w:pP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ddtheka@aade.gr</w:t>
        </w:r>
      </w:hyperlink>
    </w:p>
    <w:p>
      <w:pPr>
        <w:spacing w:before="240" w:after="240"/>
        <w:rPr>
          <w:lang w:val="el" w:eastAsia="el"/>
        </w:rPr>
      </w:pPr>
      <w:hyperlink r:id="rId5" w:history="1">
        <w:r>
          <w:rPr>
            <w:rStyle w:val="Hyperlink"/>
            <w:color w:val="0000EE"/>
            <w:u w:color="0000EE"/>
            <w:lang w:val="el" w:eastAsia="el"/>
          </w:rPr>
          <w:t>www.aade.gr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Θέμα: Κοινοποίηση του άρθρου 53 «</w:t>
      </w:r>
      <w:r>
        <w:rPr>
          <w:b/>
          <w:bCs/>
          <w:i/>
          <w:iCs/>
          <w:lang w:val="el" w:eastAsia="el"/>
        </w:rPr>
        <w:t>Αντικατάσταση λόγω ολικής καταστροφής αυτοκινήτου που παραλήφθηκε από άτομα με αναπηρία με απαλλαγή από το τέλος ταξινόμησης - Προσθήκη παρ. 8Α στο άρθρο 132 του ν. 2960/2001</w:t>
      </w:r>
      <w:r>
        <w:rPr>
          <w:b/>
          <w:bCs/>
          <w:lang w:val="el" w:eastAsia="el"/>
        </w:rPr>
        <w:t>» του ν. 4818/18-7-2021 (Α’ 124) - Παροχή οδηγιών.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Κοινοποιούμε για ενημέρωση και εφαρμογή τις διατάξεις του άρθρου 53 «</w:t>
      </w:r>
      <w:r>
        <w:rPr>
          <w:i/>
          <w:iCs/>
          <w:lang w:val="el" w:eastAsia="el"/>
        </w:rPr>
        <w:t>Αντικατάσταση λόγω ολικής καταστροφής αυτοκινήτου που παραλήφθηκε από άτομα με αναπηρία με απαλλαγή από το τέλος ταξινόμησης - Προσθήκη παρ. 8Α στο άρθρο 132 του ν. 2960/2001</w:t>
      </w:r>
      <w:r>
        <w:rPr>
          <w:lang w:val="el" w:eastAsia="el"/>
        </w:rPr>
        <w:t xml:space="preserve"> » του ν. 4818/18-72021, όπως δημοσιεύθηκε στο ΦΕΚ Τεύχος Α’ 124, με τις οποίες προστίθεται νέα παράγραφος 8Α στο άρθρο 132 του ν. 2960/2001 (Α΄ 265).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Ειδικότερα, με την παράγραφο 8Α του άρθρου 132 του ν. 2960/2001 (Α΄ 265) προβλέπονται τα ακόλουθα: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 xml:space="preserve">α΄ : η </w:t>
      </w:r>
      <w:r>
        <w:rPr>
          <w:b/>
          <w:bCs/>
          <w:lang w:val="el" w:eastAsia="el"/>
        </w:rPr>
        <w:t xml:space="preserve">δυνατότητα αντικατάστασης με απαλλαγή από το τέλος ταξινόμησης </w:t>
      </w:r>
      <w:r>
        <w:rPr>
          <w:u w:val="single"/>
          <w:lang w:val="el" w:eastAsia="el"/>
        </w:rPr>
        <w:t>εντός του</w:t>
      </w:r>
      <w:r>
        <w:rPr>
          <w:u w:val="single"/>
          <w:lang w:val="el" w:eastAsia="el"/>
        </w:rPr>
        <w:t>ισχύοντος περιοριστικού διαστήματος</w:t>
      </w:r>
      <w:r>
        <w:rPr>
          <w:lang w:val="el" w:eastAsia="el"/>
        </w:rPr>
        <w:t xml:space="preserve"> τελωνειακής παρακολούθησής του </w:t>
      </w:r>
      <w:r>
        <w:rPr>
          <w:b/>
          <w:bCs/>
          <w:lang w:val="el" w:eastAsia="el"/>
        </w:rPr>
        <w:t xml:space="preserve">ολοσχερώς κατεστραμένου αυτοκίνητου </w:t>
      </w:r>
      <w:r>
        <w:rPr>
          <w:lang w:val="el" w:eastAsia="el"/>
        </w:rPr>
        <w:t>που είχε παραληφθεί με απαλλαγή από άτομα με αναπηρίες και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 xml:space="preserve">β΄ : η χορήγηση του δικαιώματος αντικατάστασης με απαλλαγή από το τέλος ταξινόμησης </w:t>
      </w:r>
      <w:r>
        <w:rPr>
          <w:b/>
          <w:bCs/>
          <w:u w:val="single"/>
          <w:lang w:val="el" w:eastAsia="el"/>
        </w:rPr>
        <w:t>άπαξ</w:t>
      </w:r>
      <w:r>
        <w:rPr>
          <w:b/>
          <w:bCs/>
          <w:lang w:val="el" w:eastAsia="el"/>
        </w:rPr>
        <w:t>ανά δικαιούχο υπό την προυπόθεση ότι υποβάλλονται τα ακόλουθα δικαιολογητικά στην αρμόδια Τελωνειακή Αρχή: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βα)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αίτηση για την παραλαβή νέου αυτοκινήτου με απαλλαγή από το τέλος ταξινόμησης, ββ) ακριβές αντίγραφο από το βιβλίο αδικημάτων και συμβάντων της οικείας Αστυνομικής Υπηρεσίας, από το οποίο προκύπτει ότι ο ενδιαφερόμενος έχει δηλώσει την ολική καταστροφή,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βγ)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πράξη οριστικής διαγραφής από τα Μητρώα του Υπουργείου Υποδομών και Μεταφορών του αυτοκινήτου που καταστράφηκε,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βδ)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βεβαίωση ότι το αυτοκίνητο που καταστράφηκε έχει εγκαταλειφθεί υπέρ του Δημοσίου μέσω τελωνειακής αρχής και,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βε)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βεβαίωση της αρμόδιας Διεύθυνσης Διαχείρισης Δημόσιου Υλικού (ΔΙ.Δ.Δ.Υ.) της Γενικής Διεύθυνσης Τελωνείων και Ειδικών Φόρων Κατανάλωσης της Α.Α.Δ.Ε., ότι το αυτοκίνητο που εγκαταλείφθηκε σύμφωνα με την περ. δ΄ έχει χαρακτηριστεί ως Όχημα Τέλους Κύκλου Ζωής (Ο.Τ. Κ.Ζ.).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Για την εφαρμογή της ως άνω διάταξης, η Τελωνειακή Περιφέρεια Αττικής με βάση τα σχετικά δικαιολογητικά προβαίνει στην τελωνειακή τακτοποίηση του κατεστραμένου αυτοκινήτου και την ενημέρωση του οικείου φακέλου ατελείας. Επισημαίνεται ότι η βεβαίωση του σημείου βε) ανωτέρω θα αποστέλλεται στην Τελωνειακή Περιφέρεια Αττικής από την αρμόδια Διεύθυνση Διαχείρισης Δημόσιου Υλικού (ΔΙ.Δ.Δ.Υ. ή το αρμόδιο Τελωνείο στο οποίο έχει παραδοθεί το αυτοκίνητο).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Τέλος, οι αρμόδιες τελωνειακές αρχές χορηγούν στα δικαιούχα πρόσωπα απαλλαγή από το τέλος ταξινόμησης για την παραλαβή νέου αυτοκινήτου με την ίδια Γνωμάτευση του Κ.Ε.Π.Α.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Συν</w:t>
      </w:r>
      <w:r>
        <w:rPr>
          <w:b/>
          <w:bCs/>
          <w:lang w:val="el" w:eastAsia="el"/>
        </w:rPr>
        <w:t>. ΦΕΚ Α’ 124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 ΑΑΔΕ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Α) ΑΠΟΔΕΚΤΕΣ ΓΙΑ ΕΝΕΡΓΕΙΑ: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Τελωνειακές Περιφέρειες (για ενημέρωση των Τελωνείων της αρμοδιότητάς τους)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Όλες οι Τελωνειακές Αρχές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Φορολογικές Περιφέρειες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Όλες οι ΔΟΥ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ΗΛΕΚΤΡΟΝΙΚΗ ΒΙΒΛΙΟΘΗΚΗ, Email:</w:t>
      </w:r>
      <w:hyperlink r:id="rId6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elib admin @ aade 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ΔΙΕΠΙΔΙ-Υποδιεύθυνση Β΄-Τμήμα Ε΄ (για ανάρτηση στο Portal του ICISnet), e-mail:</w:t>
      </w:r>
      <w:hyperlink r:id="rId7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p .bambali@ aade 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Β) ΑΠΟΔΕΚΤΕΣ ΓΙΑ ΚΟΙΝΟΠΟΙΗΣΗ: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Γραφείο Υπουργού Οικονομικών κ. Χ. Σταϊκούρα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Γραφείο Υφυπουργού Οικονομικών κ. Απ. Βεσυρόπουλου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Υπηρεσία Ερευνών και Διασφάλισης Δημοσίων Εσόδων (Υ.Ε.Δ.Δ.Ε.)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Δ/νση Εσωτερικού Ελέγχου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Αυτοτελές Τμήμα Συντονισμού Μεταρρυθμιστικών Δράσεων και Επικοινωνίας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Διεύθυνση Νομικής Υποστήριξης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7. Ελεγκτική Υπηρεσία Τελωνείων (ΕΛ.Υ.Τ.) Αττικής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8. Ελεγκτική Υπηρεσία Τελωνείων (ΕΛ.Υ.Τ.) Θεσσαλονίκης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9. Επιτελική Υπηρεσία Τελωνείων (Ε.Υ.Τ.Ε.)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10. Σ.Δ.Ο.Ε. –Κεντρική Υπηρεσία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11. Περιφερειακές Δ/νσεις Σ.Δ.Ο.Ε.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12. ΥΠΟΥΡΓΕΙΟ ΕΡΓΑΣΙΑΣ ΚΑΙ ΚΟΙΝΩΝΙΚΗΣ ΑΣΦΑΛΙΣΗΣ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α)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ΓΡΑΦΕΙΟ ΥΠΟΥΡΓΟΥ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β)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ΓΡΑΦΕΙΟ ΥΦΥΠΟΥΡΓΟΥ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γ)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Διεύθυνση Διοικητικών Θεμάτων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13. Αποδέκτες Πίνακα Η (Σύλλογοι Λογιστών και Εκτελωνιστών)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14. Σύνδεσμος Εισαγωγέων Αντιπροσώπων Αυτοκινήτων &amp;Δικύκλων (με την παράκληση ενημέρωσης των μελών), Email:</w:t>
      </w:r>
      <w:hyperlink r:id="rId8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info@ seaa.gr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15. Σύνδεσμος Εμπόρων Εισαγωγέων Αυτοκινήτων Ελλάδας (με την παράκληση ενημέρωσης των μελών), Εmail: </w:t>
      </w:r>
      <w:hyperlink r:id="rId9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info@ seeae 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16. Υπουργείο Υποδομών και Μεταφορών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a. Δ/νση Τεχνολογίας Οχημάτων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b. Δ/νση Επιβατικών Μεταφορών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c. Δ/νση Τεχνικού Ελέγχου Εγκαταστάσεων Εξυπηρέτησης Οχημάτων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20 ΕΝΙΑΙΟΣ ΦΟΡΕΑΣ ΚΟΙΝΩΝΙΚΗΣ ΑΣΦΑΛΙΣΗΣ (ΕΦΚΑ)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Α) Γραφείο Διοικητή ΕΦΚΑ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Β) Γραφείο Υποδιοικητή ΕΦΚΑ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γ)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 xml:space="preserve">ΓΕΝΙΚΗ ΔΙΕΥΘΥΝΣΗ ΚΑΤΑΒΟΛΗΣ ΠΑΡΟΧΩΝ ΥΓΕΙΑΣ/ Δ/ΝΣΗ ΙΑΤΡΙΚΗΣ ΑΞΙΟΛΟΓΗΣΗΣ ΕΦΚΑ/ΤΜΗΜΑ ΙΑΤΡΙΚΗΣ ΕΡΓΑΣΙΑΣ &amp; ΥΠΟΣΤΗΡΙΞΗΣ ΥΓΕΙΟΝΟΜΙΚΩΝ ΕΠΙΤΡΟΠΩΝ/Yπόψη: κα Μ. Θεοδωράκη, Email: </w:t>
      </w:r>
      <w:hyperlink r:id="rId10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tm .iatr.ye @efka.gov.gr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Αγίου Κωνσταντίνου 8, 102 41 – Αθήνα,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22 . Εθνική Συνομοσπονδία Ατόμων με Αναπηρίες (ΕΣΑΜΕΑ) (Ελ. Βενιζέλου 236, 163 41 ΗΛΙΟΥΠΟΛΗ)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(με την παράκληση ημέρωσης των επιμέρους ομοσπονδιών), Εmail: </w:t>
      </w:r>
      <w:hyperlink r:id="rId11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esamea@otenet.gr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23 . Πανελλήνιος Σύλλογος Μεταμοσχευμένων Καρδιάς Πνεύμονα «ΣυνεχίΖΩ» ,Σκρα 58, Καλλιθέα ΤΚ 176 73 Ε-mail:</w:t>
      </w:r>
      <w:hyperlink r:id="rId12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info@ synehizo.org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24 .Σωματείο Ηπατομεταμοσχευθέντων Ελλάδας «ΗΠΑΡχω» Βερανζέρου 15, Αθήνα ΤΚ 106 77,E-mail: </w:t>
      </w:r>
      <w:hyperlink r:id="rId13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info@ shpel.gr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Γ) ΕΣΩΤΕΡΙΚΗ ΔΙΑΝΟΜΗ: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Γραφείο Διοικητή Ανεξάρτητης Αρχής Δημοσίων Εσόδων κ. Γ. Πιτσιλή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Αυτοτελές Γραφείο Υποστήριξης Γενικής Δ/νσης Τελωνείων και Ε.Φ.Κ. κ. Κ. Μουρτίδη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Αυτοτελές Γραφείο Υποστήριξης Γενικής Δ/νσης Φορολογικής Διοίκησης κ. Β. Ηλιοπούλου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Δ/νσεις: ΔΤΔ, ΔΣΤΕΠ, ΔΗΤ, ΔΕΦΚ &amp; ΦΠΑ, ΔΔΘΕΚΑ-Τμήματα Α, Β, Γ, Δ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ΔΕΕΦ – Τμ. Β’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ΔΙΕΠΙΔΙ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7. ΔΑΤΕ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tm.iatr.ye@efka.gov.gr" TargetMode="External" /><Relationship Id="rId11" Type="http://schemas.openxmlformats.org/officeDocument/2006/relationships/hyperlink" Target="mailto:esamea@otenet.gr" TargetMode="External" /><Relationship Id="rId12" Type="http://schemas.openxmlformats.org/officeDocument/2006/relationships/hyperlink" Target="mailto:info@synehizo.org" TargetMode="External" /><Relationship Id="rId13" Type="http://schemas.openxmlformats.org/officeDocument/2006/relationships/hyperlink" Target="mailto:info@shpel.gr" TargetMode="Externa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dtheka@aade.gr" TargetMode="External" /><Relationship Id="rId5" Type="http://schemas.openxmlformats.org/officeDocument/2006/relationships/hyperlink" Target="http://www.aade.gr/" TargetMode="External" /><Relationship Id="rId6" Type="http://schemas.openxmlformats.org/officeDocument/2006/relationships/hyperlink" Target="mailto:elib_admin@aade.gr" TargetMode="External" /><Relationship Id="rId7" Type="http://schemas.openxmlformats.org/officeDocument/2006/relationships/hyperlink" Target="mailto:p.bambali@aade.gr" TargetMode="External" /><Relationship Id="rId8" Type="http://schemas.openxmlformats.org/officeDocument/2006/relationships/hyperlink" Target="mailto:info@seaa.gr" TargetMode="External" /><Relationship Id="rId9" Type="http://schemas.openxmlformats.org/officeDocument/2006/relationships/hyperlink" Target="mailto:info@seeae.g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