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ΔΙΕΥΘΥΝΣΗ ΕΙΣΠΡΑΞΕΩΝ</w:t>
      </w:r>
    </w:p>
    <w:p>
      <w:pPr>
        <w:pStyle w:val="Title"/>
        <w:spacing w:before="120" w:after="360"/>
        <w:rPr>
          <w:lang w:val="el" w:eastAsia="el"/>
        </w:rPr>
      </w:pPr>
      <w:r>
        <w:rPr>
          <w:b/>
          <w:bCs/>
          <w:lang w:val="el" w:eastAsia="el"/>
        </w:rPr>
        <w:t>ΑΔΑ:6ΗΚΣ46ΜΠ3Ζ-5ΚΠ</w:t>
      </w:r>
    </w:p>
    <w:p>
      <w:pPr>
        <w:pStyle w:val="Title"/>
        <w:spacing w:before="120" w:after="360"/>
        <w:rPr>
          <w:lang w:val="el" w:eastAsia="el"/>
        </w:rPr>
      </w:pPr>
      <w:r>
        <w:rPr>
          <w:b/>
          <w:bCs/>
          <w:lang w:val="el" w:eastAsia="el"/>
        </w:rPr>
        <w:t>Αθήνα, 16 Αυγούστου 2021</w:t>
      </w:r>
    </w:p>
    <w:p>
      <w:pPr>
        <w:pStyle w:val="Title"/>
        <w:spacing w:before="120" w:after="360"/>
        <w:rPr>
          <w:lang w:val="el" w:eastAsia="el"/>
        </w:rPr>
      </w:pPr>
      <w:r>
        <w:rPr>
          <w:b/>
          <w:bCs/>
          <w:lang w:val="el" w:eastAsia="el"/>
        </w:rPr>
        <w:t>Ε. 2166</w:t>
      </w:r>
    </w:p>
    <w:p>
      <w:pPr>
        <w:pStyle w:val="Title"/>
        <w:spacing w:before="120" w:after="360"/>
        <w:rPr>
          <w:lang w:val="el" w:eastAsia="el"/>
        </w:rPr>
      </w:pPr>
      <w:r>
        <w:rPr>
          <w:b/>
          <w:bCs/>
          <w:lang w:val="el" w:eastAsia="el"/>
        </w:rPr>
        <w:t>Πανεπιστημίου 20</w:t>
      </w:r>
    </w:p>
    <w:p>
      <w:pPr>
        <w:pStyle w:val="Title"/>
        <w:spacing w:before="120" w:after="360"/>
        <w:rPr>
          <w:lang w:val="el" w:eastAsia="el"/>
        </w:rPr>
      </w:pPr>
      <w:r>
        <w:rPr>
          <w:b/>
          <w:bCs/>
          <w:lang w:val="el" w:eastAsia="el"/>
        </w:rPr>
        <w:t>10672, Αθήνα</w:t>
      </w:r>
    </w:p>
    <w:p>
      <w:pPr>
        <w:pStyle w:val="Title"/>
        <w:spacing w:before="120" w:after="360"/>
        <w:rPr>
          <w:lang w:val="el" w:eastAsia="el"/>
        </w:rPr>
      </w:pPr>
      <w:r>
        <w:rPr>
          <w:b/>
          <w:bCs/>
          <w:lang w:val="el" w:eastAsia="el"/>
        </w:rPr>
        <w:t xml:space="preserve">210 3635007 </w:t>
      </w:r>
      <w:hyperlink r:id="rId4" w:history="1">
        <w:r>
          <w:rPr>
            <w:rStyle w:val="Hyperlink"/>
            <w:b/>
            <w:bCs/>
            <w:color w:val="0000EE"/>
            <w:u w:color="0000EE"/>
            <w:lang w:val="el" w:eastAsia="el"/>
          </w:rPr>
          <w:t>deispraxeon@ aade .gr</w:t>
        </w:r>
      </w:hyperlink>
      <w:hyperlink r:id="rId5" w:history="1">
        <w:r>
          <w:rPr>
            <w:rStyle w:val="Hyperlink"/>
            <w:b/>
            <w:bCs/>
            <w:color w:val="0000EE"/>
            <w:u w:color="0000EE"/>
            <w:lang w:val="el" w:eastAsia="el"/>
          </w:rPr>
          <w:t>www.aade .gr</w:t>
        </w:r>
      </w:hyperlink>
      <w:r>
        <w:rPr>
          <w:b/>
          <w:bCs/>
          <w:u w:val="single"/>
          <w:lang w:val="el" w:eastAsia="el"/>
        </w:rPr>
        <w:t>ΔΙΕΥΘΥΝΣΗ ΕΦΑΡΜΟΓΗΣ ΑΜΕΣΗΣ ΦΟΡΟΛΟΓΙΑΣ</w:t>
      </w:r>
    </w:p>
    <w:p>
      <w:pPr>
        <w:pStyle w:val="Title"/>
        <w:spacing w:before="120" w:after="360"/>
        <w:rPr>
          <w:lang w:val="el" w:eastAsia="el"/>
        </w:rPr>
      </w:pPr>
      <w:r>
        <w:rPr>
          <w:b/>
          <w:bCs/>
          <w:u w:val="single"/>
          <w:lang w:val="el" w:eastAsia="el"/>
        </w:rPr>
        <w:t>Καραγεώργη Σερβίας 10</w:t>
      </w:r>
    </w:p>
    <w:p>
      <w:pPr>
        <w:pStyle w:val="Title"/>
        <w:spacing w:before="120" w:after="360"/>
        <w:rPr>
          <w:lang w:val="el" w:eastAsia="el"/>
        </w:rPr>
      </w:pPr>
      <w:r>
        <w:rPr>
          <w:b/>
          <w:bCs/>
          <w:u w:val="single"/>
          <w:lang w:val="el" w:eastAsia="el"/>
        </w:rPr>
        <w:t xml:space="preserve">10184, Αθήνα 210-3375192 </w:t>
      </w:r>
      <w:hyperlink r:id="rId6" w:history="1">
        <w:r>
          <w:rPr>
            <w:rStyle w:val="Hyperlink"/>
            <w:b/>
            <w:bCs/>
            <w:color w:val="0000EE"/>
            <w:u w:color="0000EE"/>
            <w:lang w:val="el" w:eastAsia="el"/>
          </w:rPr>
          <w:t>d12.admin@ yo.syzefxis.gov.gr</w:t>
        </w:r>
      </w:hyperlink>
      <w:hyperlink r:id="rId7" w:history="1">
        <w:r>
          <w:rPr>
            <w:rStyle w:val="Hyperlink"/>
            <w:b/>
            <w:bCs/>
            <w:color w:val="0000EE"/>
            <w:u w:color="0000EE"/>
            <w:lang w:val="el" w:eastAsia="el"/>
          </w:rPr>
          <w:t>www.aade .gr</w:t>
        </w:r>
      </w:hyperlink>
    </w:p>
    <w:p>
      <w:pPr>
        <w:pStyle w:val="Title"/>
        <w:spacing w:before="120" w:after="360"/>
        <w:rPr>
          <w:lang w:val="el" w:eastAsia="el"/>
        </w:rPr>
      </w:pPr>
      <w:r>
        <w:rPr>
          <w:b/>
          <w:bCs/>
          <w:u w:val="single"/>
          <w:lang w:val="el" w:eastAsia="el"/>
        </w:rPr>
        <w:t>ΘΕΜΑ: Κοινοποίηση των διατάξεων των άρθρων 4, 8, 36, 61 του ν. 4809/2021 (Α΄102/19-6-2021)</w:t>
      </w:r>
    </w:p>
    <w:p>
      <w:pPr>
        <w:pStyle w:val="Title"/>
        <w:spacing w:before="120" w:after="360"/>
        <w:rPr>
          <w:lang w:val="el" w:eastAsia="el"/>
        </w:rPr>
      </w:pPr>
      <w:r>
        <w:rPr>
          <w:b/>
          <w:bCs/>
          <w:u w:val="single"/>
          <w:lang w:val="el" w:eastAsia="el"/>
        </w:rPr>
        <w:t xml:space="preserve">Σας κοινοποιούμε συνημμένα τις διατάξεις των άρθρων 4, 8, 36 και 61 του ν. 4809/2021 </w:t>
      </w:r>
      <w:r>
        <w:rPr>
          <w:b/>
          <w:bCs/>
          <w:i/>
          <w:iCs/>
          <w:u w:val="single"/>
          <w:lang w:val="el" w:eastAsia="el"/>
        </w:rPr>
        <w:t xml:space="preserve">«Αναμόρφωση θεσμικού πλαισίου της Επιτροπής Επαγγελματικού Αθλητισμού, διατάξεις εναρμόνισης με ολιστική μελέτη </w:t>
      </w:r>
      <w:r>
        <w:rPr>
          <w:b/>
          <w:bCs/>
          <w:i/>
          <w:iCs/>
          <w:u w:val="single"/>
          <w:lang w:val="el" w:eastAsia="el"/>
        </w:rPr>
        <w:t xml:space="preserve">FIFA-UEFA </w:t>
      </w:r>
      <w:r>
        <w:rPr>
          <w:b/>
          <w:bCs/>
          <w:i/>
          <w:iCs/>
          <w:u w:val="single"/>
          <w:lang w:val="el" w:eastAsia="el"/>
        </w:rPr>
        <w:t>για το ποδόσφαιρο και την Ελληνική Ποδοσφαιρική Ομοσπονδία, αναδιάρθρωση επαγγελματικών κατηγοριών ποδοσφαίρου, λειτουργική ενίσχυση Εθνικού Οργανισμού Καταπολέμησης Ντόπινγκ, αναμόρφωση θεσμικού πλαισίου προπονητών αθλημάτων και λοιπές τροποποιήσεις της αθλητικής νομοθεσίας»,</w:t>
      </w:r>
      <w:r>
        <w:rPr>
          <w:b/>
          <w:bCs/>
          <w:u w:val="single"/>
          <w:lang w:val="el" w:eastAsia="el"/>
        </w:rPr>
        <w:t xml:space="preserve"> Α΄102/19-6-2021, ως ακολούθως:</w:t>
      </w:r>
    </w:p>
    <w:p>
      <w:pPr>
        <w:pStyle w:val="Heading6"/>
        <w:spacing w:before="240" w:after="240"/>
        <w:rPr>
          <w:lang w:val="el" w:eastAsia="el"/>
        </w:rPr>
      </w:pPr>
      <w:r>
        <w:rPr>
          <w:b/>
          <w:bCs/>
          <w:u w:val="single"/>
          <w:lang w:val="el" w:eastAsia="el"/>
        </w:rPr>
        <w:t xml:space="preserve">Άρθρο 4 </w:t>
      </w:r>
    </w:p>
    <w:p>
      <w:pPr>
        <w:pStyle w:val="Heading6"/>
        <w:spacing w:before="240" w:after="240"/>
        <w:rPr>
          <w:lang w:val="el" w:eastAsia="el"/>
        </w:rPr>
      </w:pPr>
      <w:r>
        <w:rPr>
          <w:b/>
          <w:bCs/>
          <w:u w:val="single"/>
          <w:lang w:val="el" w:eastAsia="el"/>
        </w:rPr>
        <w:t>«Αρμοδιότητες Επιτροπής Επαγγελματικού Αθλητισμού, τακτικοί και έκτακτοι έλεγχοι, πιστοποιητικό Επιτροπής Επαγγελματικού Αθλητισμού - Αντικατάσταση άρθρου 77Α ν.2725/1999»</w:t>
      </w:r>
    </w:p>
    <w:p>
      <w:pPr>
        <w:spacing w:before="240" w:after="240"/>
        <w:rPr>
          <w:lang w:val="el" w:eastAsia="el"/>
        </w:rPr>
      </w:pPr>
      <w:r>
        <w:rPr>
          <w:b/>
          <w:bCs/>
          <w:u w:val="single"/>
          <w:lang w:val="el" w:eastAsia="el"/>
        </w:rPr>
        <w:t xml:space="preserve">Με το άρθρο 4 του ν. 4809/2021 αντικαταστάθηκε το άρθρο 77Α του ν. 2725/1999 </w:t>
      </w:r>
      <w:r>
        <w:rPr>
          <w:b/>
          <w:bCs/>
          <w:i/>
          <w:iCs/>
          <w:u w:val="single"/>
          <w:lang w:val="el" w:eastAsia="el"/>
        </w:rPr>
        <w:t>(«Ερασιτεχνικός και επαγγελματικός αθλητισμός και άλλες διατάξεις»</w:t>
      </w:r>
      <w:r>
        <w:rPr>
          <w:b/>
          <w:bCs/>
          <w:u w:val="single"/>
          <w:lang w:val="el" w:eastAsia="el"/>
        </w:rPr>
        <w:t>, Α΄ 121). Στην παρ. 4 του νέου άρθρου 77Α του ν. 2725/1999, όπως αντικαταστάθηκε κατά τα ανωτέρω, προβλέπεται ότι για τη χορήγηση του πιστοποιητικού της παρ. 3 του ίδιου άρθρου, η ενδιαφερόμενη ανώνυμη αθλητική εταιρεία (Α.Α.Ε.) ή το ενδιαφερόμενο τμήμα αμειβόμενων αθλητών (Τ.Α.Α.) υποβάλλει αίτηση στην Επιτροπή Επαγγελματικού Αθλητισμού (Ε.Ε.Α.) έως την 15η Ιουλίου 2021, η οποία συνοδεύεται, μεταξύ άλλων δικαιολογητικών, και από αποδεικτικό φορολογικής ενημερότητας (βλ. περ. β΄ της παρ. 4 του νέου άρθρου 77Α του ν. 2725/1999).</w:t>
      </w:r>
    </w:p>
    <w:p>
      <w:pPr>
        <w:pStyle w:val="Heading6"/>
        <w:spacing w:before="240" w:after="240"/>
        <w:rPr>
          <w:lang w:val="el" w:eastAsia="el"/>
        </w:rPr>
      </w:pPr>
      <w:r>
        <w:rPr>
          <w:b/>
          <w:bCs/>
          <w:u w:val="single"/>
          <w:lang w:val="el" w:eastAsia="el"/>
        </w:rPr>
        <w:t xml:space="preserve">Άρθρο 8 </w:t>
      </w:r>
    </w:p>
    <w:p>
      <w:pPr>
        <w:pStyle w:val="Heading6"/>
        <w:spacing w:before="240" w:after="240"/>
        <w:rPr>
          <w:lang w:val="el" w:eastAsia="el"/>
        </w:rPr>
      </w:pPr>
      <w:r>
        <w:rPr>
          <w:b/>
          <w:bCs/>
          <w:u w:val="single"/>
          <w:lang w:val="el" w:eastAsia="el"/>
        </w:rPr>
        <w:t>«Απόκτηση μετοχών Ανωνύμων Αθλητικών Εταιρειών - Αντικατάσταση παρ. 1, προσθήκη παρ. 1α και τροποποίηση παρ. 2 στο άρθρο 69Α ν.2725/1999»</w:t>
      </w:r>
    </w:p>
    <w:p>
      <w:pPr>
        <w:spacing w:before="240" w:after="240"/>
        <w:rPr>
          <w:lang w:val="el" w:eastAsia="el"/>
        </w:rPr>
      </w:pPr>
      <w:r>
        <w:rPr>
          <w:b/>
          <w:bCs/>
          <w:u w:val="single"/>
          <w:lang w:val="el" w:eastAsia="el"/>
        </w:rPr>
        <w:t>Με το άρθρο 8 του ν. 4809/2021 τροποποιήθηκε το άρθρο 69Α του ν. 2725/1999. Στη νέα παρ. 1Α του άρθρου 69Α του ν. 2725/1999, η οποία προστέθηκε με το άρθρο 8 του ν. 4809/2021, ορίζεται ότι για τη χορήγηση της άδειας της E.E.A. που προβλέπεται στην παρ. 1 του άρθρου 69 Α του ν. 2725/1999, ο ενδιαφερόμενος οφείλει να συνυποβάλει, με την αίτησή του, μεταξύ άλλων δικαιολογητικών, και αποδεικτικό φορολογικής ενημερότητας (βλ. περ. α΄ της νέας παρ. 1Α του άρθρου 69Α του ν. 2725/1999) και αντίγραφα των φορολογικών του δηλώσεων εκτυπωμένα από τον ιστότοπο της Ανεξάρτητης Αρχής Δημοσίων Εσόδων (Α.Α.Δ.Ε.) ή, σε περίπτωση νομικού προσώπου, αντίγραφα των ισολογισμών των τριών (3) τελευταίων ετών, υπογεγραμμένα από ορκωτό ελεγκτή λογιστή.</w:t>
      </w:r>
    </w:p>
    <w:p>
      <w:pPr>
        <w:pStyle w:val="Heading6"/>
        <w:spacing w:before="240" w:after="240"/>
        <w:rPr>
          <w:lang w:val="el" w:eastAsia="el"/>
        </w:rPr>
      </w:pPr>
      <w:r>
        <w:rPr>
          <w:b/>
          <w:bCs/>
          <w:u w:val="single"/>
          <w:lang w:val="el" w:eastAsia="el"/>
        </w:rPr>
        <w:t xml:space="preserve">Άρθρο 36 </w:t>
      </w:r>
    </w:p>
    <w:p>
      <w:pPr>
        <w:pStyle w:val="Heading6"/>
        <w:spacing w:before="240" w:after="240"/>
        <w:rPr>
          <w:lang w:val="el" w:eastAsia="el"/>
        </w:rPr>
      </w:pPr>
      <w:r>
        <w:rPr>
          <w:b/>
          <w:bCs/>
          <w:u w:val="single"/>
          <w:lang w:val="el" w:eastAsia="el"/>
        </w:rPr>
        <w:t>«Προπονητής – Αντικατάσταση του άρθρου 31 του ν.2725/1999»</w:t>
      </w:r>
    </w:p>
    <w:p>
      <w:pPr>
        <w:spacing w:before="240" w:after="240"/>
        <w:rPr>
          <w:lang w:val="el" w:eastAsia="el"/>
        </w:rPr>
      </w:pPr>
      <w:r>
        <w:rPr>
          <w:b/>
          <w:bCs/>
          <w:u w:val="single"/>
          <w:lang w:val="el" w:eastAsia="el"/>
        </w:rPr>
        <w:t>Με το άρθρο 36 του ν. 4809/2021 αντικαταστάθηκε το άρθρο 31 του ν.2725/1999. Στο τρίτο εδάφιο της νέας παραγράφου 7 ορίζεται ότι η παράγραφος 2α του άρθρου 15 του ν.4172/2013 (Α’ 167) εφαρμόζεται αναλόγως και στους προπονητές.</w:t>
      </w:r>
    </w:p>
    <w:p>
      <w:pPr>
        <w:pStyle w:val="Heading6"/>
        <w:spacing w:before="240" w:after="240"/>
        <w:rPr>
          <w:lang w:val="el" w:eastAsia="el"/>
        </w:rPr>
      </w:pPr>
      <w:r>
        <w:rPr>
          <w:b/>
          <w:bCs/>
          <w:u w:val="single"/>
          <w:lang w:val="el" w:eastAsia="el"/>
        </w:rPr>
        <w:t xml:space="preserve">Άρθρο 61 </w:t>
      </w:r>
    </w:p>
    <w:p>
      <w:pPr>
        <w:pStyle w:val="Heading6"/>
        <w:spacing w:before="240" w:after="240"/>
        <w:rPr>
          <w:lang w:val="el" w:eastAsia="el"/>
        </w:rPr>
      </w:pPr>
      <w:r>
        <w:rPr>
          <w:b/>
          <w:bCs/>
          <w:u w:val="single"/>
          <w:lang w:val="el" w:eastAsia="el"/>
        </w:rPr>
        <w:t>«Ειδικές ρυθμίσεις για την εκκαθάριση Α.Α.Ε.»</w:t>
      </w:r>
    </w:p>
    <w:p>
      <w:pPr>
        <w:spacing w:before="240" w:after="240"/>
        <w:rPr>
          <w:lang w:val="el" w:eastAsia="el"/>
        </w:rPr>
      </w:pPr>
      <w:r>
        <w:rPr>
          <w:b/>
          <w:bCs/>
          <w:u w:val="single"/>
          <w:lang w:val="el" w:eastAsia="el"/>
        </w:rPr>
        <w:t>Με το άρθρο 61 του ν. 4809/2021 προστέθηκαν στο άρθρο 111 του ν. 2725/1999, το οποίο ρυθμίζει τη διαδικασία εκκαθάρισης Α.Α.Ε. κατόπιν υποβιβασμού από τη Γ΄ εθνική κατηγορία, δύο νέες παράγραφοι, 7 και 8, ως εξής: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Σύμφωνα με τη νέα παράγραφο 7 του άρθρου 111 του ν. 2725/1999, Α.Α.Ε. η οποία τίθεται σε εκκαθάριση οικειοθελώς για λόγο που δεν ανάγεται σε υποβιβασμό, αναδιάρθρωση κατηγοριών ή άλλη αθλητική αιτία, επανέρχεται ως αθλητικό σωματείο από την οικεία τελευταία ερασιτεχνική κατηγορία.</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 xml:space="preserve">Σύμφωνα με τη νέα παράγραφο 8 του άρθρου 111 του ν. 2725/1999, τα </w:t>
      </w:r>
      <w:r>
        <w:rPr>
          <w:b/>
          <w:bCs/>
          <w:u w:val="single"/>
          <w:lang w:val="el" w:eastAsia="el"/>
        </w:rPr>
        <w:t xml:space="preserve">ιδρυτικά αθλητικά σωματεία που κατέλαβαν τη θέση της υποβιβασθείσας Α.Α.Ε. από </w:t>
      </w:r>
      <w:r>
        <w:rPr>
          <w:b/>
          <w:bCs/>
          <w:u w:val="single"/>
          <w:lang w:val="el" w:eastAsia="el"/>
        </w:rPr>
        <w:t xml:space="preserve">1/4/2020 </w:t>
      </w:r>
      <w:r>
        <w:rPr>
          <w:b/>
          <w:bCs/>
          <w:u w:val="single"/>
          <w:lang w:val="el" w:eastAsia="el"/>
        </w:rPr>
        <w:t>έως και την 19η/6/2021</w:t>
      </w:r>
      <w:r>
        <w:rPr>
          <w:b/>
          <w:bCs/>
          <w:u w:val="single"/>
          <w:lang w:val="el" w:eastAsia="el"/>
        </w:rPr>
        <w:t xml:space="preserve"> (ημερομηνία δημοσίευσης του ν. 4809/2021), μπορούν να ιδρύσουν νέα Α.Α.Ε. για το ίδιο άθλημα, η οποία διαδέχεται την υπό εκκαθάριση Α.Α.Ε. και υπεισέρχεται ως προς τις υποχρεώσεις στη θέση της υπό εκκαθάριση Α.Α.Ε. υπό τις ακόλουθους –μεταξύ άλλων- όρους:</w:t>
      </w:r>
    </w:p>
    <w:p>
      <w:pPr>
        <w:spacing w:before="240" w:after="240"/>
        <w:rPr>
          <w:lang w:val="el" w:eastAsia="el"/>
        </w:rPr>
      </w:pPr>
      <w:r>
        <w:rPr>
          <w:u w:val="single"/>
          <w:lang w:val="el" w:eastAsia="el"/>
        </w:rPr>
        <w:t xml:space="preserve">i. </w:t>
      </w:r>
      <w:r>
        <w:rPr>
          <w:b/>
          <w:bCs/>
          <w:u w:val="single"/>
          <w:lang w:val="el" w:eastAsia="el"/>
        </w:rPr>
        <w:t>Η υποβιβασθείσα Α.Α.Ε. καθώς και οι διοικούντες αυτήν που δημιούργησαν τις οφειλές ευθύνονται αλληλεγγύως και εις ολόκληρον για το σύνολο των κάθε είδους υποχρεώσεων της υποβιβασθείσας Α.Α.Ε., σύμφωνα με την κείμενη νομοθεσία (περ. α΄ της παρ. 8 του άρθρου 111 του ν. 2725/1999).</w:t>
      </w:r>
    </w:p>
    <w:p>
      <w:pPr>
        <w:spacing w:before="240" w:after="240"/>
        <w:rPr>
          <w:lang w:val="el" w:eastAsia="el"/>
        </w:rPr>
      </w:pPr>
      <w:r>
        <w:rPr>
          <w:u w:val="single"/>
          <w:lang w:val="el" w:eastAsia="el"/>
        </w:rPr>
        <w:t xml:space="preserve">ii. </w:t>
      </w:r>
      <w:r>
        <w:rPr>
          <w:b/>
          <w:bCs/>
          <w:u w:val="single"/>
          <w:lang w:val="el" w:eastAsia="el"/>
        </w:rPr>
        <w:t xml:space="preserve">Κατά παρέκκλιση της περ. (α) της παρ. 4α του άρθρου 111 του ν. 2725/1999 </w:t>
      </w:r>
      <w:r>
        <w:rPr>
          <w:b/>
          <w:bCs/>
          <w:i/>
          <w:iCs/>
          <w:u w:val="single"/>
          <w:lang w:val="el" w:eastAsia="el"/>
        </w:rPr>
        <w:t xml:space="preserve">(σύμφωνα με την οποία από την έναρξη της αγωνιστικής περιόδου </w:t>
      </w:r>
      <w:r>
        <w:rPr>
          <w:b/>
          <w:bCs/>
          <w:i/>
          <w:iCs/>
          <w:u w:val="single"/>
          <w:lang w:val="el" w:eastAsia="el"/>
        </w:rPr>
        <w:t xml:space="preserve">2016-2017 </w:t>
      </w:r>
      <w:r>
        <w:rPr>
          <w:b/>
          <w:bCs/>
          <w:i/>
          <w:iCs/>
          <w:u w:val="single"/>
          <w:lang w:val="el" w:eastAsia="el"/>
        </w:rPr>
        <w:t>και εφεξής σε περίπτωση υποβιβασμού Α.Α.Ε. και θέσης αυτής σε καθεστώς εκκαθάρισης, εφόσον συσταθεί νέα Α.Α.Ε., η νέα Α.Α.Ε. υπεισέρχεται αυτοδικαίως στο σύνολο των υποχρεώσεων της υπό εκκαθάριση Α.Ε.Ε προς το Δημόσιο και τους Οργανισμούς Κοινωνικής Ασφάλισης),</w:t>
      </w:r>
      <w:r>
        <w:rPr>
          <w:b/>
          <w:bCs/>
          <w:u w:val="single"/>
          <w:lang w:val="el" w:eastAsia="el"/>
        </w:rPr>
        <w:t xml:space="preserve"> για την ικανοποίηση των απαιτήσεων του Δημοσίου και των Οργανισμών Κοινωνικών Ασφάλισης, γίνεται τακτική κράτηση των εσόδων που προκύπτουν από τα τηλεοπτικά δικαιώματα και τα εισιτήρια όλων των αγώνων της νέας Α.Α.Ε. σε ποσοστό πέντε τοις εκατό (5%) και είκοσι τοις εκατό (20%), αντίστοιχα. Η κράτηση γίνεται έως του ποσού της βασικής οφειλής, μη περιλαμβανομένων τόκων και εν γένει προσαυξήσεων. Η υποχρέωση κράτησης παύει, εφόσον καλυφθεί η βασική οφειλή κατ’ εφαρμογή της περ. α΄ της παρ. 8 του άρθρου 111 του ν. 2725/1999. (περ. δ΄ της παρ. 8 του άρθρου 111 του ν. 2725/1999).</w:t>
      </w:r>
    </w:p>
    <w:p>
      <w:pPr>
        <w:spacing w:before="240" w:after="240"/>
        <w:rPr>
          <w:lang w:val="el" w:eastAsia="el"/>
        </w:rPr>
      </w:pPr>
      <w:r>
        <w:rPr>
          <w:b/>
          <w:bCs/>
          <w:u w:val="single"/>
          <w:lang w:val="el" w:eastAsia="el"/>
        </w:rPr>
        <w:t>Για τη ρύθμιση κάθε λεπτομέρειας σχετικά με τη διαδικασία κράτησης και την απόδοση των σχετικών ποσών και κάθε άλλο αναγκαίο ειδικότερο ζήτημα για την εφαρμογή των νέων διατάξεων παρέχεται νομοθετική εξουσιοδότηση για έκδοση κοινής απόφασης των Υπουργών Οικονομικών και Εργασίας και Κοινωνικών Υποθέσεων και του Διοικητή της Ανεξάρτητης Αρχής Δημοσίων Εσόδων.</w:t>
      </w:r>
    </w:p>
    <w:p>
      <w:pPr>
        <w:spacing w:before="240" w:after="240"/>
        <w:rPr>
          <w:lang w:val="el" w:eastAsia="el"/>
        </w:rPr>
      </w:pPr>
      <w:r>
        <w:rPr>
          <w:b/>
          <w:bCs/>
          <w:u w:val="single"/>
          <w:lang w:val="el" w:eastAsia="el"/>
        </w:rPr>
        <w:t>Για την εφαρμογή της ανωτέρω νέας παραγράφου 8 του άρθρου 111 του ν. 2725/1999, ως υποχρεώσεις / οφειλές νοούνται εκείνες των οποίων η γενεσιουργός αιτία ανάγεται σε χρόνο έως και τη θέση της Α.Ε.Ε. σε εκκαθάριση, με την επιφύλαξη των περί παραγραφής διατάξεων. Διακοπή παραγραφής, η οποία έχει επέλθει με έγερση αγωγής ή με οποιονδήποτε άλλο τρόπο, προβάλλεται και έναντι της νέας Α.Ε.Ε. Για κάθε καταβολή στην οποία προβαίνει η νέα Α.Ε.Ε., κατ` εφαρμογή των οριζομένων στην ανωτέρω παράγραφο, έχει δικαίωμα αναγωγής κατά της υπό εκκαθάριση Α.Α.Ε. (βλ. τελευταίο εδάφιο παρ. 8).</w:t>
      </w:r>
    </w:p>
    <w:p>
      <w:pPr>
        <w:spacing w:before="240" w:after="240"/>
        <w:rPr>
          <w:lang w:val="el" w:eastAsia="el"/>
        </w:rPr>
      </w:pPr>
      <w:r>
        <w:rPr>
          <w:b/>
          <w:bCs/>
          <w:u w:val="single"/>
          <w:lang w:val="el" w:eastAsia="el"/>
        </w:rPr>
        <w:t>Συν:</w:t>
      </w:r>
      <w:r>
        <w:rPr>
          <w:b/>
          <w:bCs/>
          <w:u w:val="single"/>
          <w:lang w:val="el" w:eastAsia="el"/>
        </w:rPr>
        <w:t xml:space="preserve"> Απόσπασμα του ΦΕΚ Α΄ 102/19-6-2021: διατάξεις των άρθρων 4, 8, 36 και 61 και 66 (έναρξη ισχύος) του ν. 4809/2021</w:t>
      </w:r>
    </w:p>
    <w:p>
      <w:pPr>
        <w:spacing w:before="240" w:after="240"/>
        <w:rPr>
          <w:lang w:val="el" w:eastAsia="el"/>
        </w:rPr>
      </w:pPr>
      <w:r>
        <w:rPr>
          <w:b/>
          <w:bCs/>
          <w:u w:val="single"/>
          <w:lang w:val="el" w:eastAsia="el"/>
        </w:rPr>
        <w:t>Ο ΔΙΟΙΚΗΤΗΣ ΤΗΣ ΑΝΕΞΑΡΤΗΤΗΣ ΑΡΧΗΣ ΔΗΜΟΣΙΩΝ ΕΣΟΔΩΝα.α.</w:t>
      </w:r>
    </w:p>
    <w:p>
      <w:pPr>
        <w:spacing w:before="240" w:after="240"/>
        <w:rPr>
          <w:lang w:val="el" w:eastAsia="el"/>
        </w:rPr>
      </w:pPr>
      <w:r>
        <w:rPr>
          <w:b/>
          <w:bCs/>
          <w:u w:val="single"/>
          <w:lang w:val="el" w:eastAsia="el"/>
        </w:rPr>
        <w:t xml:space="preserve">ΚΩΝΣΤΑΝΤΙΝΟΣ ΜΟΥΡΤΙΔΗΣ(βάσει της υπ’ αριθ. πρωτ. ΔΔΑΔ Γ 1147133 ΕΞ 2020 </w:t>
      </w:r>
    </w:p>
    <w:p>
      <w:pPr>
        <w:spacing w:before="240" w:after="240"/>
        <w:rPr>
          <w:lang w:val="el" w:eastAsia="el"/>
        </w:rPr>
      </w:pPr>
      <w:r>
        <w:rPr>
          <w:b/>
          <w:bCs/>
          <w:u w:val="single"/>
          <w:lang w:val="el" w:eastAsia="el"/>
        </w:rPr>
        <w:t>«Ορισμός Προϊσταμένων Γεν. Δ/νσης ως Αναπληρωτών του Διοικητή της ΑνεξάρτητηςΑρχής Δημοσίων Εσόδων (Α.Α.Δ.Ε.) σε περιπτώσεις βραχυχρόνιας απουσίας ή κωλύματος αυτού και του νόμιμου αναπληρωτή του»)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ΠΡΟΣ ΕΝΕΡΓΕΙΑ</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Αποδέκτες Πίνακα Γ’</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Διεύθυνση Στρατηγικής Τεχνολογιών Πληροφορικής</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Αυτοτελές Τμήμα Συντονισμού Μεταρρυθμιστικών Δράσεων και Επικοινωνίας</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Ηλεκτρονική Βιβλιοθήκη ΑΑΔΕ</w:t>
      </w:r>
    </w:p>
    <w:p>
      <w:pPr>
        <w:spacing w:before="240" w:after="240"/>
        <w:rPr>
          <w:lang w:val="el" w:eastAsia="el"/>
        </w:rPr>
      </w:pPr>
      <w:r>
        <w:rPr>
          <w:b/>
          <w:bCs/>
          <w:u w:val="single"/>
          <w:lang w:val="el" w:eastAsia="el"/>
        </w:rPr>
        <w:t>Β. ΑΠΟΔΕΚΤΕΣ ΠΡΟΣ ΚΟΙΝΟΠΟΙΗΣΗ</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Αποδέκτες Πίνακα Α΄ (πλην των αποδεκτών προς ενέργεια)</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Γενική Διεύθυνση Τελωνείων και Ειδικών Φόρων Κατανάλωσης</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Αποδέκτες Πίνακα Δ΄</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Κεντρική Υπηρεσία του Νομικού Συμβουλίου του Κράτους</w:t>
      </w:r>
    </w:p>
    <w:p>
      <w:pPr>
        <w:pStyle w:val="MainText"/>
        <w:spacing w:before="120" w:after="0"/>
        <w:rPr>
          <w:lang w:val="el" w:eastAsia="el"/>
        </w:rPr>
      </w:pPr>
      <w:r>
        <w:rPr>
          <w:b/>
          <w:bCs/>
          <w:u w:val="single"/>
          <w:lang w:val="el" w:eastAsia="el"/>
        </w:rPr>
        <w:t>5.</w:t>
      </w:r>
      <w:r>
        <w:rPr>
          <w:u w:val="single"/>
          <w:lang w:val="el" w:eastAsia="el"/>
        </w:rPr>
        <w:t xml:space="preserve"> </w:t>
      </w:r>
      <w:r>
        <w:rPr>
          <w:b/>
          <w:bCs/>
          <w:u w:val="single"/>
          <w:lang w:val="el" w:eastAsia="el"/>
        </w:rPr>
        <w:t>Γραφείο Υφυπουργού Οικονομικών κ. Βεσυρόπουλου</w:t>
      </w:r>
    </w:p>
    <w:p>
      <w:pPr>
        <w:pStyle w:val="MainText"/>
        <w:spacing w:before="120" w:after="0"/>
        <w:rPr>
          <w:lang w:val="el" w:eastAsia="el"/>
        </w:rPr>
      </w:pPr>
      <w:r>
        <w:rPr>
          <w:b/>
          <w:bCs/>
          <w:u w:val="single"/>
          <w:lang w:val="el" w:eastAsia="el"/>
        </w:rPr>
        <w:t>6.</w:t>
      </w:r>
      <w:r>
        <w:rPr>
          <w:u w:val="single"/>
          <w:lang w:val="el" w:eastAsia="el"/>
        </w:rPr>
        <w:t xml:space="preserve"> </w:t>
      </w:r>
      <w:r>
        <w:rPr>
          <w:b/>
          <w:bCs/>
          <w:u w:val="single"/>
          <w:lang w:val="el" w:eastAsia="el"/>
        </w:rPr>
        <w:t>Γραφείο Γενικής Γραμματέως Φορολογικής Πολιτικής και Δημόσιας Περιουσίας Γ. ΕΣΩΤΕΡΙΚΗ ΔΙΑΝΟΜΗ</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Γραφείο Διοικητή Ανεξάρτητης Αρχής Δημοσίων Εσόδων</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Γραφείο Προϊσταμένης Γενικής Διεύθυνσης Φορολογικής Διοίκησης</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Διεύθυνση Νομικής Υποστήριξης</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Διεύθυνση Εισπράξεων – Τμήματα Α΄, Β΄, Γ΄, Δ΄, Ε΄, Γραμματεία</w:t>
      </w:r>
    </w:p>
    <w:p>
      <w:pPr>
        <w:pStyle w:val="MainText"/>
        <w:spacing w:before="120" w:after="0"/>
        <w:rPr>
          <w:lang w:val="el" w:eastAsia="el"/>
        </w:rPr>
      </w:pPr>
      <w:r>
        <w:rPr>
          <w:b/>
          <w:bCs/>
          <w:u w:val="single"/>
          <w:lang w:val="el" w:eastAsia="el"/>
        </w:rPr>
        <w:t>5.</w:t>
      </w:r>
      <w:r>
        <w:rPr>
          <w:u w:val="single"/>
          <w:lang w:val="el" w:eastAsia="el"/>
        </w:rPr>
        <w:t xml:space="preserve"> </w:t>
      </w:r>
      <w:r>
        <w:rPr>
          <w:b/>
          <w:bCs/>
          <w:u w:val="single"/>
          <w:lang w:val="el" w:eastAsia="el"/>
        </w:rPr>
        <w:t>Διεύθυνση Εφαρμογής Άμεσης Φορολογίας – Τμήματα 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ispraxeon@aade.gr" TargetMode="External" /><Relationship Id="rId5" Type="http://schemas.openxmlformats.org/officeDocument/2006/relationships/hyperlink" Target="http://www.aade.gr/" TargetMode="External" /><Relationship Id="rId6" Type="http://schemas.openxmlformats.org/officeDocument/2006/relationships/hyperlink" Target="mailto:d12.admin@yo.syzefxis.gov.gr" TargetMode="External" /><Relationship Id="rId7" Type="http://schemas.openxmlformats.org/officeDocument/2006/relationships/hyperlink" Target="http://www.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