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_ Δημοσίων Εσόδω</w:t>
      </w:r>
      <w:r>
        <w:rPr>
          <w:b/>
          <w:bCs/>
          <w:lang w:val="el" w:eastAsia="el"/>
        </w:rPr>
        <w:t>vjΡΟΛΟΓΙΚΗΣ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Α΄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Φ.Π.Α.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Κώδικας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E-Mail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Url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Σίνα 2-4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10672 Αθήνα 2132122400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deef.a@aade.gr</w:t>
        </w:r>
      </w:hyperlink>
      <w:hyperlink r:id="rId5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Θέμα: Εφαρμογή διατάξεων ΦΠΑ στην έναντι αντιτίμου διενέργεια διαγνωστικού ελέγχου νόσησης από τον κορωνοϊό COVID – 19.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Κατόπιν της έκδοσης της κοινής υπουργικής απόφασης με αριθμό Δ1α/ΓΠ.οικ. 55570/12.9.21 (4207, Β’), η οποία ισχύει από 13.9.2021, και σε συνέχεια της εγκυκλίου Ε.2002/30.12.20 του Διοικητή της Ανεξάρτητης Αρχής Δημοσίων Εσόδων, διευκρινίζεται ότι: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-</w:t>
      </w:r>
      <w:r>
        <w:rPr>
          <w:u w:val="single"/>
          <w:lang w:val="en" w:eastAsia="en"/>
        </w:rPr>
        <w:tab/>
      </w:r>
      <w:r>
        <w:rPr>
          <w:b/>
          <w:bCs/>
          <w:u w:val="single"/>
          <w:lang w:val="el" w:eastAsia="el"/>
        </w:rPr>
        <w:t>οι υπηρεσίες που αφορούν τον διαγνωστικό έλεγχο νόσησης από τον κορωνοϊό COVID 19 με την μέθοδο μοριακού ελέγχου (PCR) ή με τη μέτρηση ταχείας ανίχνευσης αντιγόνου κορωνοϊού (rapid test) και πραγματοποιούνται σε ιδιωτικά διαγνωστικά εργαστήρια όπως ορίζονται στο π.δ. 84/2001, ή σε ιδιωτικές κλινικές ή σε φαρμακεία ή σε ιδιώτες γιατρούς υπάγονται στον μηδενικό συντελεστή ΦΠΑ, σύμφωνα με τις διατάξεις της παραγράφου 1Α του άρθρου 21 του Κώδικα ΦΠΑ (ν. 2859/2000).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-</w:t>
      </w:r>
      <w:r>
        <w:rPr>
          <w:u w:val="single"/>
          <w:lang w:val="en" w:eastAsia="en"/>
        </w:rPr>
        <w:tab/>
      </w:r>
      <w:r>
        <w:rPr>
          <w:b/>
          <w:bCs/>
          <w:u w:val="single"/>
          <w:lang w:val="el" w:eastAsia="el"/>
        </w:rPr>
        <w:t>Τα ανωτέρω ισχύουν μέχρι και τις 31.12.2022.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ΔΙΟΙΚΗΤΉΣ ΤΗΣ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Γ. ΠΙΤΣΙΛΉΣ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1. </w:t>
      </w:r>
      <w:r>
        <w:rPr>
          <w:b/>
          <w:bCs/>
          <w:u w:val="single"/>
          <w:lang w:val="el" w:eastAsia="el"/>
        </w:rPr>
        <w:t>Αποδέκτες Πίνακα Γ μόνο ο αριθ. 6 (όλες οι Δ.Ο.Υ.)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2. </w:t>
      </w:r>
      <w:r>
        <w:rPr>
          <w:b/>
          <w:bCs/>
          <w:u w:val="single"/>
          <w:lang w:val="el" w:eastAsia="el"/>
        </w:rPr>
        <w:t>Διεύθυνση Στρατηγικής Τεχνολογιών Πληροφορικής για ανάρτηση στην ιστοσελίδα της ΑΑΔΕ και την Ηλεκτρονική Βιβλιοθήκη της ΑΑΔΕ.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1. </w:t>
      </w:r>
      <w:r>
        <w:rPr>
          <w:b/>
          <w:bCs/>
          <w:u w:val="single"/>
          <w:lang w:val="el" w:eastAsia="el"/>
        </w:rPr>
        <w:t>Αποδέκτες Πίνακα Α΄ μόνο οι αριθ. 1 και 4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2. </w:t>
      </w:r>
      <w:r>
        <w:rPr>
          <w:b/>
          <w:bCs/>
          <w:u w:val="single"/>
          <w:lang w:val="el" w:eastAsia="el"/>
        </w:rPr>
        <w:t>Αποδέκτες Πίνακα Β΄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3. </w:t>
      </w:r>
      <w:r>
        <w:rPr>
          <w:b/>
          <w:bCs/>
          <w:u w:val="single"/>
          <w:lang w:val="el" w:eastAsia="el"/>
        </w:rPr>
        <w:t>Αποδέκτες Πίνακα Γ΄ οι αριθ. 1 έως και 5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Αποδέκτες Πίνακα Δ΄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5. </w:t>
      </w:r>
      <w:r>
        <w:rPr>
          <w:b/>
          <w:bCs/>
          <w:u w:val="single"/>
          <w:lang w:val="el" w:eastAsia="el"/>
        </w:rPr>
        <w:t>Αποδέκτες Πίνακα Ζ΄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6. </w:t>
      </w:r>
      <w:r>
        <w:rPr>
          <w:b/>
          <w:bCs/>
          <w:u w:val="single"/>
          <w:lang w:val="el" w:eastAsia="el"/>
        </w:rPr>
        <w:t>Αποδέκτες Πίνακα Η΄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7. </w:t>
      </w:r>
      <w:r>
        <w:rPr>
          <w:b/>
          <w:bCs/>
          <w:u w:val="single"/>
          <w:lang w:val="el" w:eastAsia="el"/>
        </w:rPr>
        <w:t>Αποδέκτες Πίνακα ΙΓ΄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8. </w:t>
      </w:r>
      <w:r>
        <w:rPr>
          <w:b/>
          <w:bCs/>
          <w:u w:val="single"/>
          <w:lang w:val="el" w:eastAsia="el"/>
        </w:rPr>
        <w:t>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9. </w:t>
      </w:r>
      <w:r>
        <w:rPr>
          <w:b/>
          <w:bCs/>
          <w:u w:val="single"/>
          <w:lang w:val="el" w:eastAsia="el"/>
        </w:rPr>
        <w:t>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10. </w:t>
      </w:r>
      <w:r>
        <w:rPr>
          <w:b/>
          <w:bCs/>
          <w:u w:val="single"/>
          <w:lang w:val="el" w:eastAsia="el"/>
        </w:rPr>
        <w:t>Γραφείο Γενικής Γραμματέως Φορολογικής Πολιτικής &amp; Δημόσιας Περιουσίας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1. </w:t>
      </w:r>
      <w:r>
        <w:rPr>
          <w:b/>
          <w:bCs/>
          <w:u w:val="single"/>
          <w:lang w:val="el" w:eastAsia="el"/>
        </w:rPr>
        <w:t>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2. </w:t>
      </w:r>
      <w:r>
        <w:rPr>
          <w:b/>
          <w:bCs/>
          <w:u w:val="single"/>
          <w:lang w:val="el" w:eastAsia="el"/>
        </w:rPr>
        <w:t>Γραφείο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3. </w:t>
      </w:r>
      <w:r>
        <w:rPr>
          <w:b/>
          <w:bCs/>
          <w:u w:val="single"/>
          <w:lang w:val="el" w:eastAsia="el"/>
        </w:rPr>
        <w:t>Διεύθυνση Νομικής Υποστήριξης της Α.Α.Δ.Ε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Διεύθυνση Εφαρμογής Έμμεσης Φορολογίας, Τμήμα Α΄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eef.a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