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Θέμα: «Εφαρμογή των διατάξεων του άρθρου 54 ΣΤ του ν.4174/2013 (ΦΕΚ</w:t>
      </w:r>
    </w:p>
    <w:p>
      <w:pPr>
        <w:spacing w:before="240" w:after="240"/>
        <w:rPr>
          <w:lang w:val="el" w:eastAsia="el"/>
        </w:rPr>
      </w:pPr>
      <w:r>
        <w:rPr>
          <w:b/>
          <w:bCs/>
          <w:lang w:val="el" w:eastAsia="el"/>
        </w:rPr>
        <w:t>Α΄170/26.7.2013)».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εφαρμογή των διατάξεων του άρθρου 54 ΣΤ του ν.4174/2013 (Κ.Φ.Δ.).</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για την εφαρμογή των διατάξεων του άρθρου 54 ΣΤ Κ.Φ.Δ., με το οποίο ορίζονται 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 λειτουργεί με εγκεκριμένες προδιαγραφές.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 </w:t>
      </w:r>
      <w:r>
        <w:rPr>
          <w:b/>
          <w:bCs/>
          <w:lang w:val="el" w:eastAsia="el"/>
        </w:rPr>
        <w:t>Κάτοχοι-χρήστες Φ.Η.Μ.</w:t>
      </w:r>
    </w:p>
    <w:p>
      <w:pPr>
        <w:spacing w:before="240" w:after="240"/>
        <w:rPr>
          <w:lang w:val="el" w:eastAsia="el"/>
        </w:rPr>
      </w:pPr>
      <w:r>
        <w:rPr>
          <w:lang w:val="el" w:eastAsia="el"/>
        </w:rPr>
        <w:t xml:space="preserve">• </w:t>
      </w:r>
      <w:r>
        <w:rPr>
          <w:b/>
          <w:bCs/>
          <w:lang w:val="el" w:eastAsia="el"/>
        </w:rPr>
        <w:t>Επιχειρήσεις που έχουν λάβει έγκριση λογισμικού και υλισμικού</w:t>
      </w:r>
    </w:p>
    <w:p>
      <w:pPr>
        <w:spacing w:before="240" w:after="240"/>
        <w:rPr>
          <w:lang w:val="el" w:eastAsia="el"/>
        </w:rPr>
      </w:pPr>
      <w:r>
        <w:rPr>
          <w:lang w:val="el" w:eastAsia="el"/>
        </w:rPr>
        <w:t xml:space="preserve">• </w:t>
      </w:r>
      <w:r>
        <w:rPr>
          <w:b/>
          <w:bCs/>
          <w:lang w:val="el" w:eastAsia="el"/>
        </w:rPr>
        <w:t>Ελεγκτικές Υπηρεσίες της ΑΑΔΕ.</w:t>
      </w:r>
    </w:p>
    <w:p>
      <w:pPr>
        <w:spacing w:before="240" w:after="240"/>
        <w:rPr>
          <w:lang w:val="el" w:eastAsia="el"/>
        </w:rPr>
      </w:pPr>
      <w:r>
        <w:rPr>
          <w:b/>
          <w:bCs/>
          <w:lang w:val="el" w:eastAsia="el"/>
        </w:rPr>
        <w:t>Σε σχέση με το ως άνω θέμα αναφέρουμε τα εξής:</w:t>
      </w:r>
    </w:p>
    <w:p>
      <w:pPr>
        <w:spacing w:before="240" w:after="240"/>
        <w:rPr>
          <w:lang w:val="el" w:eastAsia="el"/>
        </w:rPr>
      </w:pPr>
      <w:r>
        <w:rPr>
          <w:b/>
          <w:bCs/>
          <w:lang w:val="el" w:eastAsia="el"/>
        </w:rPr>
        <w:t>Με τις διατάξεις του άρθρου 54 ΣΤ Κ.Φ.Δ. ορίζονται 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 με εγκεκριμένες προδιαγραφές.</w:t>
      </w:r>
    </w:p>
    <w:p>
      <w:pPr>
        <w:spacing w:before="240" w:after="240"/>
        <w:rPr>
          <w:lang w:val="el" w:eastAsia="el"/>
        </w:rPr>
      </w:pPr>
      <w:r>
        <w:rPr>
          <w:b/>
          <w:bCs/>
          <w:lang w:val="el" w:eastAsia="el"/>
        </w:rPr>
        <w:t>Α. Άρθρο 54 ΣΤ, παρ.1 περ. αα΄</w:t>
      </w:r>
    </w:p>
    <w:p>
      <w:pPr>
        <w:spacing w:before="240" w:after="240"/>
        <w:rPr>
          <w:lang w:val="el" w:eastAsia="el"/>
        </w:rPr>
      </w:pPr>
      <w:r>
        <w:rPr>
          <w:lang w:val="el" w:eastAsia="el"/>
        </w:rPr>
        <w:t xml:space="preserve">1. </w:t>
      </w:r>
      <w:r>
        <w:rPr>
          <w:b/>
          <w:bCs/>
          <w:lang w:val="el" w:eastAsia="el"/>
        </w:rPr>
        <w:t>Ειδικότερα, με τις διατάξεις της περ. αα΄της παρ. 1 του άρθρου 54ΣΤ Κ.Φ.Δ. ορίζεται ότι για παραβάσεις παραβίασης ή παραποίησης ή επέμβασης στη λειτουργία των φορολογικών ηλεκτρονικών μηχανισμών (Φ.Η.Μ.), κατά οποιονδήποτε τρόπο, όταν ο υπαίτιος της παράβασης είναι ο κάτοχος-χρήστης του φορολογικού ηλεκτρονικού μηχανισμού, επιβάλλεται το ποσό του προστίμου που προβλέπεται στα τρία πρώτα εδάφια της περ. α΄της παρ. 1 του άρθρου 54Ε Κ.Φ.Δ. Το πρόστιμο αυτό ορίζεται σε δεκαπέντε τοις εκατό (15%) επί των εσόδων από επιχειρηματική δραστηριότητα του ελεγχόμενου φυσικού ή νομικού προσώπου ή οντότητας, όπως αυτά τα έσοδα προκύπτουν από τον μέσο όρο των δηλωθέντων εσόδων με τις δηλώσεις φορολογίας εισοδήματος των τριών (3) τελευταίων φορολογικών ετών. Το πρόστιμο επιβάλλεται για κάθε ελεγχόμενο έτος, για το οποίο διαπιστώνονται τα ανωτέρω.</w:t>
      </w:r>
    </w:p>
    <w:p>
      <w:pPr>
        <w:spacing w:before="240" w:after="240"/>
        <w:rPr>
          <w:lang w:val="el" w:eastAsia="el"/>
        </w:rPr>
      </w:pPr>
      <w:r>
        <w:rPr>
          <w:lang w:val="el" w:eastAsia="el"/>
        </w:rPr>
        <w:t xml:space="preserve">2. </w:t>
      </w:r>
      <w:r>
        <w:rPr>
          <w:b/>
          <w:bCs/>
          <w:lang w:val="el" w:eastAsia="el"/>
        </w:rPr>
        <w:t>Συνεπώς, για τις παραβάσεις που περιγράφονται στην παράγραφο 1 της παρούσας επιβάλλεται ένα πρόστιμο, ανά ελεγχόμενο έτος, για το οποίο διαπιστώνονται οι εν λόγω παραβάσεις ανεξάρτητα από το πλήθος των Φ.Η.Μ. που έχει παραβιάσει ή παραποιήσει ή επέμβει ο κάτοχος- χρήστης αυτού. Η παράβαση καταλογίζεται στο έτος που ανάγεται ο έλεγχος και το οποίο αφορά η παραβίαση ή η παραποίηση ή κατά οποιονδήποτε τρόπο επέμβαση στη λειτουργία των φορολογικών ηλεκτρονικών μηχανισμών, υπό την προϋπόθεση ότι η διαπίστωση λαμβάνει χώρα από την 1.8.2020 και εντεύθεν (σχετ. παρ. 3γ΄άρθρ. 101 ν. 4714/2020).</w:t>
      </w:r>
    </w:p>
    <w:p>
      <w:pPr>
        <w:spacing w:before="240" w:after="240"/>
        <w:rPr>
          <w:lang w:val="el" w:eastAsia="el"/>
        </w:rPr>
      </w:pPr>
      <w:r>
        <w:rPr>
          <w:lang w:val="el" w:eastAsia="el"/>
        </w:rPr>
        <w:t xml:space="preserve">3. </w:t>
      </w:r>
      <w:r>
        <w:rPr>
          <w:b/>
          <w:bCs/>
          <w:lang w:val="el" w:eastAsia="el"/>
        </w:rPr>
        <w:t>Για την καλύτερη κατανόηση των ανωτέρω, παρατίθεται το ακόλουθο παράδειγμα:</w:t>
      </w:r>
    </w:p>
    <w:p>
      <w:pPr>
        <w:spacing w:before="240" w:after="240"/>
        <w:rPr>
          <w:lang w:val="el" w:eastAsia="el"/>
        </w:rPr>
      </w:pPr>
      <w:r>
        <w:rPr>
          <w:b/>
          <w:bCs/>
          <w:lang w:val="el" w:eastAsia="el"/>
        </w:rPr>
        <w:t>Έστω ότι το έτος 2021 διενεργείται έλεγχος σε οντότητα για τα φορολογικά έτη 2016, 2017 και 2018. Η οντότητα διαθέτει στην κατοχή της πέντε (5) φορολογικούς ηλεκτρονικούς μηχανισμούς (Φ.Η.Μ.) και ο κάτοχος αυτών επενέβη στη λειτουργία των δύο (2) εξ αυτών, κατά τα φορολογικά έτη 2016 και 2017. Τα ακαθάριστα έσοδα αυτής, τα τελευταία τρία (3) φορολογικά έτη ανέρχονται στο ποσό των τριών εκατομμυρίων (3.000.000 €) ευρώ. Συνεπώς, ο μέσος όρος των δηλωθέντων εσόδων της σύμφωνα με τις δηλώσεις φορολογίας εισοδήματος ανέρχεται στο ποσό του ενός εκατομμυρίου (1.000.000 €) ευρώ ανά έτος. Καθόσον η διαπίστωση των εν λόγω παραβάσεων έλαβε χώρα σε ημερομηνία μεταγενέστερη της 1.8.2020, επιβάλλεται ένα πρόστιμο για κάθε έτος διάπραξής τους. Δηλαδή, το ύψος του προστίμου ανέρχεται στο ποσό των εκατόν πενήντα χιλιάδων (150.000€) ευρώ για το έτος 2016 και αντίστοιχα στο ποσό των εκατόν πενήντα χιλιάδων (150.000€) ευρώ για το έτος 2017 (1.000.000€ * 15%).</w:t>
      </w:r>
    </w:p>
    <w:p>
      <w:pPr>
        <w:spacing w:before="240" w:after="240"/>
        <w:rPr>
          <w:lang w:val="el" w:eastAsia="el"/>
        </w:rPr>
      </w:pPr>
      <w:r>
        <w:rPr>
          <w:b/>
          <w:bCs/>
          <w:lang w:val="el" w:eastAsia="el"/>
        </w:rPr>
        <w:t>Β. Άρθρο 54 ΣΤ, παρ. 1, περ.αβ΄:</w:t>
      </w:r>
    </w:p>
    <w:p>
      <w:pPr>
        <w:spacing w:before="240" w:after="240"/>
        <w:rPr>
          <w:lang w:val="el" w:eastAsia="el"/>
        </w:rPr>
      </w:pPr>
      <w:r>
        <w:rPr>
          <w:lang w:val="el" w:eastAsia="el"/>
        </w:rPr>
        <w:t xml:space="preserve">4. </w:t>
      </w:r>
      <w:r>
        <w:rPr>
          <w:b/>
          <w:bCs/>
          <w:lang w:val="el" w:eastAsia="el"/>
        </w:rPr>
        <w:t>Σύμφωνα με το άρθρο 54 ΣΤ παρ. 1 περ. αβ΄ ΚΦΔ, όταν ο υπαίτιος της παράβασης της παραβίασης ή παραποίησης ή επέμβασης στη λειτουργία Φ.Η.Μ.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Φ.Η.Μ. επιβάλλεται σε αυτήν την επιχείρηση ή σε αυτό το πρόσωπο πρόστιμο εκατό χιλιάδων (100.000) ευρώ. Το πρόστιμο επιβάλλεται για κάθε ελεγχόμενο έτος για το οποίο διαπιστώνονται οι εν λόγω παραβάσεις. Για τη σχέση του άρθρου 54 ΣΤ παρ. 1 περ. αβ΄ ΚΦΔ ως προς το άρθρο 60 ΚΦΔ βλέπε και την Ε. 2176/8.9.2021.</w:t>
      </w:r>
    </w:p>
    <w:p>
      <w:pPr>
        <w:spacing w:before="240" w:after="240"/>
        <w:rPr>
          <w:lang w:val="el" w:eastAsia="el"/>
        </w:rPr>
      </w:pPr>
      <w:r>
        <w:rPr>
          <w:lang w:val="el" w:eastAsia="el"/>
        </w:rPr>
        <w:t xml:space="preserve">5. </w:t>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 Για την περίπτωση αυτή ισχύουν τα ανωτέρω αναλυθέντα στις παραγράφους 1, 2 και 3 της παρούσας.</w:t>
      </w:r>
    </w:p>
    <w:p>
      <w:pPr>
        <w:spacing w:before="240" w:after="240"/>
        <w:rPr>
          <w:lang w:val="el" w:eastAsia="el"/>
        </w:rPr>
      </w:pPr>
      <w:r>
        <w:rPr>
          <w:lang w:val="el" w:eastAsia="el"/>
        </w:rPr>
        <w:t xml:space="preserve">6. </w:t>
      </w:r>
      <w:r>
        <w:rPr>
          <w:b/>
          <w:bCs/>
          <w:lang w:val="el" w:eastAsia="el"/>
        </w:rPr>
        <w:t>Διευκρινίζεται ότι το πρόστιμο του άρθρου 54ΣΤ παρ. 1 περ. β΄δεν επιβάλλεται σε περιπτώσεις έκδοσης στοιχείων λιανικής πώλησης χωρίς τη χρήση φορολογικού ηλεκτρονικού μηχανισμού ή από εγκεκριμένο και μη δηλωμένο φορολογικό ηλεκτρονικό μηχανισμό, δεδομένου ότι οι εν λόγω παραβάσεις ρυθμίζονται με τις διατάξεις του άρθρου 54 Κ.Φ.Δ..</w:t>
      </w:r>
    </w:p>
    <w:p>
      <w:pPr>
        <w:spacing w:before="240" w:after="240"/>
        <w:rPr>
          <w:lang w:val="el" w:eastAsia="el"/>
        </w:rPr>
      </w:pPr>
      <w:r>
        <w:rPr>
          <w:lang w:val="el" w:eastAsia="el"/>
        </w:rPr>
        <w:t xml:space="preserve">7. </w:t>
      </w:r>
      <w:r>
        <w:rPr>
          <w:b/>
          <w:bCs/>
          <w:lang w:val="el" w:eastAsia="el"/>
        </w:rPr>
        <w:t>Διευκρινίζεται επιπλέον, ότι το πρόστιμο του άρθρου 54ΣΤ παρ. 1 περ. β΄Κ.Φ.Δ. δεν επιβάλλεται και στην περίπτωση έκδοσης στοιχείων λιανικής πώλησης από φορολογικό μηχανισμό, ο οποίος δεν λειτουργεί με εγκεκριμένες προδιαγραφές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Επισημαίνεται ότι, το τρίτο εδάφιο του άρθρου 54 ΣΤ παρ. 1 περ. β΄ Κ.Φ.Δ. είναι άνευ αντικειμένου και κατ’ επέκταση δεν επιβάλλεται κανένα πρόστιμο στις περιπτώσεις αυτές.</w:t>
      </w:r>
    </w:p>
    <w:p>
      <w:pPr>
        <w:spacing w:before="240" w:after="240"/>
        <w:rPr>
          <w:lang w:val="el" w:eastAsia="el"/>
        </w:rPr>
      </w:pPr>
      <w:r>
        <w:rPr>
          <w:lang w:val="el" w:eastAsia="el"/>
        </w:rPr>
        <w:t xml:space="preserve">8. </w:t>
      </w:r>
      <w:r>
        <w:rPr>
          <w:b/>
          <w:bCs/>
          <w:lang w:val="el" w:eastAsia="el"/>
        </w:rPr>
        <w:t>Ειδικά για τους υπόχρεους του άρθρου 31 παρ. 7 του Ν. 3784/2009, τα πρόστιμα του άρθρου 54 ΣΤ παρ. 1 Κ.Φ.Δ. δεν επιβάλλονται εάν κατά τον χρόνο της διαπίστωσης της παράβασης έχει ήδη επιβληθεί το πρόστιμο του άρθρου 31 παρ. 10 του ν.3784/2009 (άρθρο 101§8 του ν. 4714/2020 (Α΄148).</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Β΄</w:t>
      </w:r>
    </w:p>
    <w:p>
      <w:pPr>
        <w:spacing w:before="240" w:after="240"/>
        <w:rPr>
          <w:lang w:val="el" w:eastAsia="el"/>
        </w:rPr>
      </w:pPr>
      <w:r>
        <w:rPr>
          <w:lang w:val="el" w:eastAsia="el"/>
        </w:rPr>
        <w:t xml:space="preserve">2. </w:t>
      </w:r>
      <w:r>
        <w:rPr>
          <w:b/>
          <w:bCs/>
          <w:lang w:val="el" w:eastAsia="el"/>
        </w:rPr>
        <w:t>Αποδέκτες πίνακα Γ΄</w:t>
      </w:r>
    </w:p>
    <w:p>
      <w:pPr>
        <w:spacing w:before="240" w:after="240"/>
        <w:rPr>
          <w:lang w:val="el" w:eastAsia="el"/>
        </w:rPr>
      </w:pPr>
      <w:r>
        <w:rPr>
          <w:lang w:val="el" w:eastAsia="el"/>
        </w:rPr>
        <w:t xml:space="preserve">3.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Προϊστάμενο της Γενικής Διεύθυνσης Φορολογικής Διοίκησης</w:t>
      </w:r>
    </w:p>
    <w:p>
      <w:pPr>
        <w:spacing w:before="240" w:after="240"/>
        <w:rPr>
          <w:lang w:val="el" w:eastAsia="el"/>
        </w:rPr>
      </w:pPr>
      <w:r>
        <w:rPr>
          <w:lang w:val="el" w:eastAsia="el"/>
        </w:rPr>
        <w:t xml:space="preserve">3. </w:t>
      </w:r>
      <w:r>
        <w:rPr>
          <w:b/>
          <w:bCs/>
          <w:lang w:val="el" w:eastAsia="el"/>
        </w:rPr>
        <w:t>Προϊστάμενο της Γενικής Διεύθυνσης Ανθρώπινου Δυναμικού και Οργάνωσης</w:t>
      </w:r>
    </w:p>
    <w:p>
      <w:pPr>
        <w:spacing w:before="240" w:after="240"/>
        <w:rPr>
          <w:lang w:val="el" w:eastAsia="el"/>
        </w:rPr>
      </w:pPr>
      <w:r>
        <w:rPr>
          <w:lang w:val="el" w:eastAsia="el"/>
        </w:rPr>
        <w:t xml:space="preserve">4. </w:t>
      </w:r>
      <w:r>
        <w:rPr>
          <w:b/>
          <w:bCs/>
          <w:lang w:val="el" w:eastAsia="el"/>
        </w:rPr>
        <w:t>Δ/νση Νομικής Υποστήριξης (Δ.Ν.Υ.)</w:t>
      </w:r>
    </w:p>
    <w:p>
      <w:pPr>
        <w:spacing w:before="240" w:after="240"/>
        <w:rPr>
          <w:lang w:val="el" w:eastAsia="el"/>
        </w:rPr>
      </w:pPr>
      <w:r>
        <w:rPr>
          <w:lang w:val="el" w:eastAsia="el"/>
        </w:rPr>
        <w:t xml:space="preserve">5. </w:t>
      </w:r>
      <w:r>
        <w:rPr>
          <w:b/>
          <w:bCs/>
          <w:lang w:val="el" w:eastAsia="el"/>
        </w:rPr>
        <w:t>Διεύθυνση Ελέγχων,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