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8"/>
        <w:gridCol w:w="363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ΓΕΝΙΚΗ ΔΙΕΥΘΥΝΣΗ ΦΟΡΟΛΟΓΙΚΗΣ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ΕΦΑΡΜΟΓΗΣ ΕΜΜΕΣΗΣ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 ΚΑΙ ΕΙΔΙΚΩΝ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Σίνα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106 72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2132122400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 3645413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deef.b@aade.gr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r>
    </w:tbl>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ΑΔΑ: 96Λ646ΜΠ3Ζ-ΩΛΧ</w:t>
      </w:r>
    </w:p>
    <w:p>
      <w:pPr>
        <w:pStyle w:val="PreambelText"/>
        <w:spacing w:before="240" w:after="240"/>
        <w:rPr>
          <w:lang w:val="el" w:eastAsia="el"/>
        </w:rPr>
      </w:pPr>
      <w:r>
        <w:rPr>
          <w:b/>
          <w:bCs/>
          <w:lang w:val="el" w:eastAsia="el"/>
        </w:rPr>
        <w:t>Αθήνα, 11 Οκτωβρίου 2021</w:t>
      </w:r>
    </w:p>
    <w:p>
      <w:pPr>
        <w:pStyle w:val="PreambelText"/>
        <w:spacing w:before="240" w:after="240"/>
        <w:rPr>
          <w:lang w:val="el" w:eastAsia="el"/>
        </w:rPr>
      </w:pPr>
      <w:r>
        <w:rPr>
          <w:b/>
          <w:bCs/>
          <w:lang w:val="el" w:eastAsia="el"/>
        </w:rPr>
        <w:t>Ε.2191</w:t>
      </w:r>
    </w:p>
    <w:p>
      <w:pPr>
        <w:pStyle w:val="PreambelText"/>
        <w:spacing w:before="240" w:after="240"/>
        <w:rPr>
          <w:lang w:val="el" w:eastAsia="el"/>
        </w:rPr>
      </w:pPr>
      <w:r>
        <w:rPr>
          <w:b/>
          <w:bCs/>
          <w:lang w:val="el" w:eastAsia="el"/>
        </w:rPr>
        <w:t>ΠΡΟΣ Ως προς τον πίνακα διανομής</w:t>
      </w:r>
    </w:p>
    <w:p>
      <w:pPr>
        <w:pStyle w:val="PreambelText"/>
        <w:spacing w:before="240" w:after="240"/>
        <w:rPr>
          <w:lang w:val="el" w:eastAsia="el"/>
        </w:rPr>
      </w:pPr>
      <w:r>
        <w:rPr>
          <w:b/>
          <w:bCs/>
          <w:lang w:val="el" w:eastAsia="el"/>
        </w:rPr>
        <w:t>Θέμα: «Γνωστοποίηση της τιμής ελαιολάδου ελαιοκομικού έτους 2021-2022, για την εφαρμογή των διατάξεων της εισφοράς δακοκτονίας»</w:t>
      </w:r>
    </w:p>
    <w:p>
      <w:pPr>
        <w:pStyle w:val="enacting"/>
        <w:spacing w:before="120" w:after="0"/>
        <w:rPr>
          <w:lang w:val="el" w:eastAsia="el"/>
        </w:rPr>
      </w:pPr>
      <w:r>
        <w:rPr>
          <w:b/>
          <w:bCs/>
          <w:lang w:val="el" w:eastAsia="el"/>
        </w:rPr>
        <w:t>ΠΕΡΙΛΗΨΗ ΕΓΚΥΚΛΙΟΥ</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Εγκύκλιος με θέμα τη γνωστοποίηση της τιμής ελαιολάδου ελαιοκομικού έτους 2021-2022, για την εφαρμογή των διατάξεων της εισφοράς δακοκτονίας.</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Σύμφωνα με τις διατάξεις του δευτέρου εδαφίου της παραγράφου 1 του άρθρου 2 του α.ν. 112/1967 (Α΄147), όπως αυτές αντικαταστάθηκαν με το άρθρο 102 του ν. 1402/1983 (Α΄167), η εισφορά δακοκτονίας ορίζεται σε ποσοστό 2% επί της αξίας λαδιού που παράγεται και με την παρούσα γνωστοποιείται η κατώτατη τιμή αναφοράς του ελαιολάδου για το ελαιοκομικό έτος 2021-2022 επί της οποίας υπολογίζεται η εισφορά.</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Αποδέκτες της εν λόγω εγκυκλίου είναι όλοι οι φορείς που εμπλέκονται στην παραγωγή βρώσιμου ελαιολάδου.</w:t>
      </w:r>
    </w:p>
    <w:p>
      <w:pPr>
        <w:pStyle w:val="PreambelText"/>
        <w:spacing w:before="240" w:after="240"/>
        <w:rPr>
          <w:lang w:val="el" w:eastAsia="el"/>
        </w:rPr>
      </w:pPr>
      <w:r>
        <w:rPr>
          <w:b/>
          <w:bCs/>
          <w:lang w:val="el" w:eastAsia="el"/>
        </w:rPr>
        <w:t>Με τις διατάξεις του δευτέρου εδαφίου της παραγράφου 1 του άρθρου 2 του α.ν. 112/1967 (Α΄147), όπως αυτές αντικαταστάθηκαν με το άρθρο 102 του ν. 1402/1983 (Α΄167), η εισφορά δακοκτονίας ορίζεται σε ποσοστό 2% επί της αξίας λαδιού που παράγεται. Αυτή υπολογίζεται στη μικρότερη τιμή συγκέντρωσης μεταξύ εκείνων που καθορίζονται για τις ποιότητες των βρώσιμων λαδιών κατά το χρόνο της παραγωγής, δηλαδή την τιμή (παρέμβασης) για το κοινό Παρθένο Ελαιόλαδο οξύτητας 2%.-3,3%.</w:t>
      </w:r>
    </w:p>
    <w:p>
      <w:pPr>
        <w:pStyle w:val="PreambelText"/>
        <w:spacing w:before="240" w:after="240"/>
        <w:rPr>
          <w:lang w:val="el" w:eastAsia="el"/>
        </w:rPr>
      </w:pPr>
      <w:r>
        <w:rPr>
          <w:b/>
          <w:bCs/>
          <w:lang w:val="el" w:eastAsia="el"/>
        </w:rPr>
        <w:t>Με τις ίδιες διατάξεις η εισφορά δακοκτονίας στις πωλούμενες χονδρικά από τους παραγωγούς ή τους εντολοδόχους αυτών ελιές, ορίζεται όπως και πριν σε ποσοστό 2% επί της τιμολογιακής αξίας πώλησής τους.</w:t>
      </w:r>
    </w:p>
    <w:p>
      <w:pPr>
        <w:pStyle w:val="PreambelText"/>
        <w:spacing w:before="240" w:after="240"/>
        <w:rPr>
          <w:lang w:val="el" w:eastAsia="el"/>
        </w:rPr>
      </w:pPr>
      <w:r>
        <w:rPr>
          <w:b/>
          <w:bCs/>
          <w:lang w:val="el" w:eastAsia="el"/>
        </w:rPr>
        <w:t>Σύμφωνα με το υπ΄ αριθ. πρωτ. 2393/256457/22-9-2021 έγγραφο του Υπουργείου Αγροτικής Ανάπτυξης και Τροφίμων και του άρθρου 7 παρ. ζ΄ του καν. (Ε.Ε.) 1308/2013, η κατώτατη τιμή αναφοράς για τη χορήγηση ενίσχυσης για ιδιωτική αποθεματοποίηση για την κατηγορία ελαιολάδου Λαμπάντε (lampante) με ελεύθερη οξύτητα δύο βαθμών, για το ελαιοκομικό έτος 2021-2022, θα είναι 1.524 ευρώ/τόνο, η οποία θα λαμβάνεται υπόψη για τον υπολογισμό της εισφοράς δακοκτονίας του λαδιού.</w:t>
      </w:r>
    </w:p>
    <w:p>
      <w:pPr>
        <w:pStyle w:val="PreambelText"/>
        <w:spacing w:before="240" w:after="240"/>
        <w:rPr>
          <w:lang w:val="el" w:eastAsia="el"/>
        </w:rPr>
      </w:pPr>
      <w:r>
        <w:rPr>
          <w:b/>
          <w:bCs/>
          <w:lang w:val="el" w:eastAsia="el"/>
        </w:rPr>
        <w:t>Στο ανωτέρω ποσό αναλογεί ανά κιλό, εισφορά δακοκτονίας 1,524 x 2% = 0,030 ευρώ. Σημειώνεται ότι το ποσό των 1.524 ευρώ /τόνο, μειώνεται κατά 36,70 ευρώ/τόνο για κάθε επιπλέον βαθμό οξύτητας.</w:t>
      </w:r>
    </w:p>
    <w:p>
      <w:pPr>
        <w:pStyle w:val="PreambelText"/>
        <w:spacing w:before="240" w:after="240"/>
        <w:rPr>
          <w:lang w:val="el" w:eastAsia="el"/>
        </w:rPr>
      </w:pPr>
      <w:r>
        <w:rPr>
          <w:b/>
          <w:bCs/>
          <w:lang w:val="el" w:eastAsia="el"/>
        </w:rPr>
        <w:t>Αναλυτικές οδηγίες για την ομοιόμορφη εφαρμογή των διατάξεων που ισχύουν γενικά για την εισφορά δακοκτονίας στο λάδι και τις ελιές έχουν δοθεί με την εγκύκλιο Σ. 4309/159/19/112-1983.</w:t>
      </w:r>
    </w:p>
    <w:p>
      <w:pPr>
        <w:pStyle w:val="enacting"/>
        <w:spacing w:before="120" w:after="0"/>
        <w:rPr>
          <w:lang w:val="el" w:eastAsia="el"/>
        </w:rPr>
      </w:pPr>
      <w:r>
        <w:rPr>
          <w:b/>
          <w:bCs/>
          <w:lang w:val="el" w:eastAsia="el"/>
        </w:rPr>
        <w:t>Ο ΔΙΟΙΚΗΤΗΣ</w:t>
      </w:r>
      <w:r>
        <w:rPr>
          <w:lang w:val="el" w:eastAsia="el"/>
        </w:rPr>
        <w:br/>
      </w:r>
      <w:r>
        <w:rPr>
          <w:b/>
          <w:bCs/>
          <w:lang w:val="el" w:eastAsia="el"/>
        </w:rPr>
        <w:t>ΤΗΣ ΑΝΕΞΑΡΤΗΤΗΣ ΑΡΧΗΣ</w:t>
      </w:r>
      <w:r>
        <w:rPr>
          <w:lang w:val="el" w:eastAsia="el"/>
        </w:rPr>
        <w:br/>
      </w:r>
      <w:r>
        <w:rPr>
          <w:b/>
          <w:bCs/>
          <w:lang w:val="el" w:eastAsia="el"/>
        </w:rPr>
        <w:t>ΔΗΜΟΣΙΩΝ ΕΣΟΔΩΝ</w:t>
      </w:r>
      <w:r>
        <w:rPr>
          <w:lang w:val="el" w:eastAsia="el"/>
        </w:rPr>
        <w:br/>
      </w:r>
      <w:r>
        <w:rPr>
          <w:b/>
          <w:bCs/>
          <w:lang w:val="el" w:eastAsia="el"/>
        </w:rPr>
        <w:t>ΓΕΩΡΓΙΟΣ ΠΙΤΣΙΛΗΣ</w:t>
      </w:r>
    </w:p>
    <w:p>
      <w:pPr>
        <w:pStyle w:val="PreambelText"/>
        <w:spacing w:before="240" w:after="240"/>
        <w:rPr>
          <w:lang w:val="el" w:eastAsia="el"/>
        </w:rPr>
      </w:pPr>
      <w:r>
        <w:rPr>
          <w:b/>
          <w:bCs/>
          <w:lang w:val="el" w:eastAsia="el"/>
        </w:rPr>
        <w:t>ΠΙΝΑΚΑΣ ΔΙΑΝΟΜΗΣ</w:t>
      </w:r>
    </w:p>
    <w:p>
      <w:pPr>
        <w:pStyle w:val="PreambelText"/>
        <w:spacing w:before="240" w:after="240"/>
        <w:rPr>
          <w:lang w:val="el" w:eastAsia="el"/>
        </w:rPr>
      </w:pPr>
      <w:r>
        <w:rPr>
          <w:b/>
          <w:bCs/>
          <w:lang w:val="el" w:eastAsia="el"/>
        </w:rPr>
        <w:t>Ι. ΑΠΟΔΕΚΤΕΣ ΠΡΟΣ ΕΝΕΡΓΕΙΑ:</w:t>
      </w:r>
    </w:p>
    <w:p>
      <w:pPr>
        <w:pStyle w:val="PreambelText"/>
        <w:spacing w:before="240" w:after="240"/>
        <w:rPr>
          <w:lang w:val="el" w:eastAsia="el"/>
        </w:rPr>
      </w:pPr>
      <w:r>
        <w:rPr>
          <w:lang w:val="el" w:eastAsia="el"/>
        </w:rPr>
        <w:t xml:space="preserve">1. </w:t>
      </w:r>
      <w:r>
        <w:rPr>
          <w:b/>
          <w:bCs/>
          <w:lang w:val="el" w:eastAsia="el"/>
        </w:rPr>
        <w:t>ΑΠΟΔΕΚΤΕΣ ΠΙΝΑΚΑ Β΄ εκτός του αριθ. 2 αυτού</w:t>
      </w:r>
    </w:p>
    <w:p>
      <w:pPr>
        <w:pStyle w:val="PreambelText"/>
        <w:spacing w:before="240" w:after="240"/>
        <w:rPr>
          <w:lang w:val="el" w:eastAsia="el"/>
        </w:rPr>
      </w:pPr>
      <w:r>
        <w:rPr>
          <w:lang w:val="el" w:eastAsia="el"/>
        </w:rPr>
        <w:t xml:space="preserve">2. </w:t>
      </w:r>
      <w:r>
        <w:rPr>
          <w:b/>
          <w:bCs/>
          <w:lang w:val="el" w:eastAsia="el"/>
        </w:rPr>
        <w:t>Υπηρεσίες TAXISNET για ανάρτηση στην ιστοσελίδα της Γ.Γ.Π.Σ.</w:t>
      </w:r>
    </w:p>
    <w:p>
      <w:pPr>
        <w:pStyle w:val="PreambelText"/>
        <w:spacing w:before="240" w:after="240"/>
        <w:rPr>
          <w:lang w:val="el" w:eastAsia="el"/>
        </w:rPr>
      </w:pPr>
      <w:r>
        <w:rPr>
          <w:lang w:val="el" w:eastAsia="el"/>
        </w:rPr>
        <w:t xml:space="preserve">3. </w:t>
      </w:r>
      <w:r>
        <w:rPr>
          <w:b/>
          <w:bCs/>
          <w:lang w:val="el" w:eastAsia="el"/>
        </w:rPr>
        <w:t>Υπηρεσία Υποστήριξης Ηλεκτρονικών Υπηρεσιών για ανάρτηση στην ιστοσελίδα της Α.Α.Δ.Ε.</w:t>
      </w:r>
    </w:p>
    <w:p>
      <w:pPr>
        <w:pStyle w:val="PreambelText"/>
        <w:spacing w:before="240" w:after="240"/>
        <w:rPr>
          <w:lang w:val="el" w:eastAsia="el"/>
        </w:rPr>
      </w:pPr>
      <w:r>
        <w:rPr>
          <w:b/>
          <w:bCs/>
          <w:lang w:val="el" w:eastAsia="el"/>
        </w:rPr>
        <w:t>ΙΙ. ΑΠΟΔΕΚΤΕΣ ΓΙΑ ΚΟΙΝΟΠΟΙΗΣΗ:</w:t>
      </w:r>
    </w:p>
    <w:p>
      <w:pPr>
        <w:pStyle w:val="PreambelText"/>
        <w:spacing w:before="240" w:after="240"/>
        <w:rPr>
          <w:lang w:val="el" w:eastAsia="el"/>
        </w:rPr>
      </w:pPr>
      <w:r>
        <w:rPr>
          <w:lang w:val="el" w:eastAsia="el"/>
        </w:rPr>
        <w:t xml:space="preserve">1. </w:t>
      </w:r>
      <w:r>
        <w:rPr>
          <w:b/>
          <w:bCs/>
          <w:lang w:val="el" w:eastAsia="el"/>
        </w:rPr>
        <w:t>Υπουργείο Εσωτερικών(με παράκληση να κοινοποιηθεί)</w:t>
      </w:r>
    </w:p>
    <w:p>
      <w:pPr>
        <w:pStyle w:val="PreambelText"/>
        <w:spacing w:before="240" w:after="240"/>
        <w:rPr>
          <w:lang w:val="el" w:eastAsia="el"/>
        </w:rPr>
      </w:pPr>
      <w:r>
        <w:rPr>
          <w:b/>
          <w:bCs/>
          <w:lang w:val="el" w:eastAsia="el"/>
        </w:rPr>
        <w:t>Α) στις Περιφέρειες</w:t>
      </w:r>
    </w:p>
    <w:p>
      <w:pPr>
        <w:pStyle w:val="PreambelText"/>
        <w:spacing w:before="240" w:after="240"/>
        <w:rPr>
          <w:lang w:val="el" w:eastAsia="el"/>
        </w:rPr>
      </w:pPr>
      <w:r>
        <w:rPr>
          <w:b/>
          <w:bCs/>
          <w:lang w:val="el" w:eastAsia="el"/>
        </w:rPr>
        <w:t>Β) στους ΟΤΑ Α΄ βαθμού χωρικής αρμοδιότητας</w:t>
      </w:r>
    </w:p>
    <w:p>
      <w:pPr>
        <w:pStyle w:val="PreambelText"/>
        <w:spacing w:before="240" w:after="240"/>
        <w:rPr>
          <w:lang w:val="el" w:eastAsia="el"/>
        </w:rPr>
      </w:pPr>
      <w:r>
        <w:rPr>
          <w:lang w:val="el" w:eastAsia="el"/>
        </w:rPr>
        <w:t xml:space="preserve">2. </w:t>
      </w:r>
      <w:r>
        <w:rPr>
          <w:b/>
          <w:bCs/>
          <w:lang w:val="el" w:eastAsia="el"/>
        </w:rPr>
        <w:t>Υπουργείο Αγροτικής Ανάπτυξης και Τροφίμων</w:t>
      </w:r>
    </w:p>
    <w:p>
      <w:pPr>
        <w:pStyle w:val="PreambelText"/>
        <w:spacing w:before="240" w:after="240"/>
        <w:rPr>
          <w:lang w:val="el" w:eastAsia="el"/>
        </w:rPr>
      </w:pPr>
      <w:r>
        <w:rPr>
          <w:b/>
          <w:bCs/>
          <w:lang w:val="el" w:eastAsia="el"/>
        </w:rPr>
        <w:t>Γενική Δ/νση Τροφίμων</w:t>
      </w:r>
    </w:p>
    <w:p>
      <w:pPr>
        <w:pStyle w:val="PreambelText"/>
        <w:spacing w:before="240" w:after="240"/>
        <w:rPr>
          <w:lang w:val="el" w:eastAsia="el"/>
        </w:rPr>
      </w:pPr>
      <w:r>
        <w:rPr>
          <w:b/>
          <w:bCs/>
          <w:lang w:val="el" w:eastAsia="el"/>
        </w:rPr>
        <w:t>Δ/νση Αξιοποίησης &amp; Τεχνολογίας Τροφίμων</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Ελαίας, Ελαιολάδου &amp; Επιτραπέζιας Ελιάς</w:t>
      </w:r>
    </w:p>
    <w:p>
      <w:pPr>
        <w:spacing w:before="240" w:after="240"/>
        <w:rPr>
          <w:lang w:val="el" w:eastAsia="el"/>
        </w:rPr>
      </w:pPr>
      <w:r>
        <w:rPr>
          <w:lang w:val="el" w:eastAsia="el"/>
        </w:rPr>
        <w:t xml:space="preserve">3. </w:t>
      </w:r>
      <w:r>
        <w:rPr>
          <w:b/>
          <w:bCs/>
          <w:lang w:val="el" w:eastAsia="el"/>
        </w:rPr>
        <w:t>Αποδέκτες Πίνακα ΙΕ΄</w:t>
      </w:r>
    </w:p>
    <w:p>
      <w:pPr>
        <w:spacing w:before="240" w:after="240"/>
        <w:rPr>
          <w:lang w:val="el" w:eastAsia="el"/>
        </w:rPr>
      </w:pPr>
      <w:r>
        <w:rPr>
          <w:lang w:val="el" w:eastAsia="el"/>
        </w:rPr>
        <w:t xml:space="preserve">4. </w:t>
      </w:r>
      <w:r>
        <w:rPr>
          <w:b/>
          <w:bCs/>
          <w:lang w:val="el" w:eastAsia="el"/>
        </w:rPr>
        <w:t>Κεντρική Ένωση Επιμελητηρίων Ελλάδος (Κ.Ε.Ε.)</w:t>
      </w:r>
    </w:p>
    <w:p>
      <w:pPr>
        <w:spacing w:before="240" w:after="240"/>
        <w:rPr>
          <w:lang w:val="el" w:eastAsia="el"/>
        </w:rPr>
      </w:pPr>
      <w:r>
        <w:rPr>
          <w:b/>
          <w:bCs/>
          <w:lang w:val="el" w:eastAsia="el"/>
        </w:rPr>
        <w:t>(με παράκληση να μοιραστεί στα εμπορικά επιμελητήρια)</w:t>
      </w:r>
    </w:p>
    <w:p>
      <w:pPr>
        <w:spacing w:before="240" w:after="240"/>
        <w:rPr>
          <w:lang w:val="el" w:eastAsia="el"/>
        </w:rPr>
      </w:pPr>
      <w:r>
        <w:rPr>
          <w:lang w:val="el" w:eastAsia="el"/>
        </w:rPr>
        <w:t xml:space="preserve">5. </w:t>
      </w:r>
      <w:r>
        <w:rPr>
          <w:b/>
          <w:bCs/>
          <w:lang w:val="el" w:eastAsia="el"/>
        </w:rPr>
        <w:t>Κεντρική Συνεταιριστική Ένωση Παραγωγών Ελαιοκομικών Προϊόντων</w:t>
      </w:r>
    </w:p>
    <w:p>
      <w:pPr>
        <w:spacing w:before="240" w:after="240"/>
        <w:rPr>
          <w:lang w:val="el" w:eastAsia="el"/>
        </w:rPr>
      </w:pPr>
      <w:r>
        <w:rPr>
          <w:b/>
          <w:bCs/>
          <w:lang w:val="el" w:eastAsia="el"/>
        </w:rPr>
        <w:t>Ελαιουργική ΚΣΕΠΕΠ</w:t>
      </w:r>
    </w:p>
    <w:p>
      <w:pPr>
        <w:spacing w:before="240" w:after="240"/>
        <w:rPr>
          <w:lang w:val="el" w:eastAsia="el"/>
        </w:rPr>
      </w:pPr>
      <w:r>
        <w:rPr>
          <w:b/>
          <w:bCs/>
          <w:lang w:val="el" w:eastAsia="el"/>
        </w:rPr>
        <w:t>Πειραιώς 37-39 – Τ.Κ. 105 53 ΑΘΗΝΑ</w:t>
      </w:r>
    </w:p>
    <w:p>
      <w:pPr>
        <w:spacing w:before="240" w:after="240"/>
        <w:rPr>
          <w:lang w:val="el" w:eastAsia="el"/>
        </w:rPr>
      </w:pPr>
      <w:r>
        <w:rPr>
          <w:lang w:val="el" w:eastAsia="el"/>
        </w:rPr>
        <w:t xml:space="preserve">6. </w:t>
      </w:r>
      <w:r>
        <w:rPr>
          <w:b/>
          <w:bCs/>
          <w:lang w:val="el" w:eastAsia="el"/>
        </w:rPr>
        <w:t>Σύλλογο Εμπόρων Βρώσιμων Ελαιών (Αθηνών – Πειραιώς)</w:t>
      </w:r>
    </w:p>
    <w:p>
      <w:pPr>
        <w:spacing w:before="240" w:after="240"/>
        <w:rPr>
          <w:lang w:val="el" w:eastAsia="el"/>
        </w:rPr>
      </w:pPr>
      <w:r>
        <w:rPr>
          <w:b/>
          <w:bCs/>
          <w:lang w:val="el" w:eastAsia="el"/>
        </w:rPr>
        <w:t>Αριστοφάνους 17 – Τ.Κ. 105 54 ΑΘΗΝΑ</w:t>
      </w:r>
    </w:p>
    <w:p>
      <w:pPr>
        <w:spacing w:before="240" w:after="240"/>
        <w:rPr>
          <w:lang w:val="el" w:eastAsia="el"/>
        </w:rPr>
      </w:pPr>
      <w:r>
        <w:rPr>
          <w:lang w:val="el" w:eastAsia="el"/>
        </w:rPr>
        <w:t xml:space="preserve">7. </w:t>
      </w:r>
      <w:r>
        <w:rPr>
          <w:b/>
          <w:bCs/>
          <w:lang w:val="el" w:eastAsia="el"/>
        </w:rPr>
        <w:t>Ομοσπονδία Ελλ. Ελαιουργείων</w:t>
      </w:r>
    </w:p>
    <w:p>
      <w:pPr>
        <w:spacing w:before="240" w:after="240"/>
        <w:rPr>
          <w:lang w:val="el" w:eastAsia="el"/>
        </w:rPr>
      </w:pPr>
      <w:r>
        <w:rPr>
          <w:b/>
          <w:bCs/>
          <w:lang w:val="el" w:eastAsia="el"/>
        </w:rPr>
        <w:t>Αχαρνών 41 – Τ.Κ. 104 39 ΑΘΗΝΑ</w:t>
      </w:r>
    </w:p>
    <w:p>
      <w:pPr>
        <w:spacing w:before="240" w:after="240"/>
        <w:rPr>
          <w:lang w:val="el" w:eastAsia="el"/>
        </w:rPr>
      </w:pPr>
      <w:r>
        <w:rPr>
          <w:lang w:val="el" w:eastAsia="el"/>
        </w:rPr>
        <w:t xml:space="preserve">8. </w:t>
      </w:r>
      <w:r>
        <w:rPr>
          <w:b/>
          <w:bCs/>
          <w:lang w:val="el" w:eastAsia="el"/>
        </w:rPr>
        <w:t>ΟΠΕΚΕΠΕ</w:t>
      </w:r>
    </w:p>
    <w:p>
      <w:pPr>
        <w:spacing w:before="240" w:after="240"/>
        <w:rPr>
          <w:lang w:val="el" w:eastAsia="el"/>
        </w:rPr>
      </w:pPr>
      <w:r>
        <w:rPr>
          <w:b/>
          <w:bCs/>
          <w:lang w:val="el" w:eastAsia="el"/>
        </w:rPr>
        <w:t>Δ/νση Μηχανισμών Αγοράς</w:t>
      </w:r>
    </w:p>
    <w:p>
      <w:pPr>
        <w:spacing w:before="240" w:after="240"/>
        <w:rPr>
          <w:lang w:val="el" w:eastAsia="el"/>
        </w:rPr>
      </w:pPr>
      <w:r>
        <w:rPr>
          <w:b/>
          <w:bCs/>
          <w:lang w:val="el" w:eastAsia="el"/>
        </w:rPr>
        <w:t>Δομοκού 5 – Τ.Κ. 104 45 ΑΘΗΝΑ</w:t>
      </w:r>
    </w:p>
    <w:p>
      <w:pPr>
        <w:spacing w:before="240" w:after="240"/>
        <w:rPr>
          <w:lang w:val="el" w:eastAsia="el"/>
        </w:rPr>
      </w:pPr>
      <w:r>
        <w:rPr>
          <w:lang w:val="el" w:eastAsia="el"/>
        </w:rPr>
        <w:t xml:space="preserve">9. </w:t>
      </w:r>
      <w:r>
        <w:rPr>
          <w:b/>
          <w:bCs/>
          <w:lang w:val="el" w:eastAsia="el"/>
        </w:rPr>
        <w:t>Αποδέκτες Πίνακα Ζ΄(Περιοδικό «ΦΟΡΟΛΟΓΙΚΗ ΕΠΙΘΕΩΡΗΣΗ»)</w:t>
      </w:r>
    </w:p>
    <w:p>
      <w:pPr>
        <w:spacing w:before="240" w:after="240"/>
        <w:rPr>
          <w:lang w:val="el" w:eastAsia="el"/>
        </w:rPr>
      </w:pPr>
      <w:r>
        <w:rPr>
          <w:lang w:val="el" w:eastAsia="el"/>
        </w:rPr>
        <w:t xml:space="preserve">10. </w:t>
      </w:r>
      <w:r>
        <w:rPr>
          <w:b/>
          <w:bCs/>
          <w:lang w:val="el" w:eastAsia="el"/>
        </w:rPr>
        <w:t>Αποδέκτες Πίνακα Η΄ εκτός του αριθ. 4,10 και 11 αυτού</w:t>
      </w:r>
    </w:p>
    <w:p>
      <w:pPr>
        <w:spacing w:before="240" w:after="240"/>
        <w:rPr>
          <w:lang w:val="el" w:eastAsia="el"/>
        </w:rPr>
      </w:pPr>
      <w:r>
        <w:rPr>
          <w:lang w:val="el" w:eastAsia="el"/>
        </w:rPr>
        <w:t xml:space="preserve">11. </w:t>
      </w:r>
      <w:r>
        <w:rPr>
          <w:b/>
          <w:bCs/>
          <w:lang w:val="el" w:eastAsia="el"/>
        </w:rPr>
        <w:t>Ένωση Περιφερειών Ελλάδας</w:t>
      </w:r>
    </w:p>
    <w:p>
      <w:pPr>
        <w:spacing w:before="240" w:after="240"/>
        <w:rPr>
          <w:lang w:val="el" w:eastAsia="el"/>
        </w:rPr>
      </w:pPr>
      <w:r>
        <w:rPr>
          <w:lang w:val="el" w:eastAsia="el"/>
        </w:rPr>
        <w:t xml:space="preserve">12. </w:t>
      </w:r>
      <w:r>
        <w:rPr>
          <w:b/>
          <w:bCs/>
          <w:lang w:val="el" w:eastAsia="el"/>
        </w:rPr>
        <w:t>Κεντρική Ένωση Δήμων Ελλάδας (Κ.Ε.Δ.Ε.)</w:t>
      </w:r>
    </w:p>
    <w:p>
      <w:pPr>
        <w:spacing w:before="240" w:after="240"/>
        <w:rPr>
          <w:lang w:val="el" w:eastAsia="el"/>
        </w:rPr>
      </w:pPr>
      <w:r>
        <w:rPr>
          <w:lang w:val="el" w:eastAsia="el"/>
        </w:rPr>
        <w:t xml:space="preserve">13. </w:t>
      </w:r>
      <w:r>
        <w:rPr>
          <w:b/>
          <w:bCs/>
          <w:lang w:val="el" w:eastAsia="el"/>
        </w:rPr>
        <w:t>Ειδικό Νομικό Γραφείο Δημοσίων Εσόδων (Ε.Ν.Γ.Δ.Ε.)</w:t>
      </w:r>
    </w:p>
    <w:p>
      <w:pPr>
        <w:spacing w:before="240" w:after="240"/>
        <w:rPr>
          <w:lang w:val="el" w:eastAsia="el"/>
        </w:rPr>
      </w:pPr>
      <w:r>
        <w:rPr>
          <w:lang w:val="el" w:eastAsia="el"/>
        </w:rPr>
        <w:t xml:space="preserve">14. </w:t>
      </w:r>
      <w:r>
        <w:rPr>
          <w:b/>
          <w:bCs/>
          <w:lang w:val="el" w:eastAsia="el"/>
        </w:rPr>
        <w:t>Δ/νση Ηλεκτρονικής Διακυβέρνησης (Δ.ΗΛΕ.Δ.)</w:t>
      </w:r>
    </w:p>
    <w:p>
      <w:pPr>
        <w:spacing w:before="240" w:after="240"/>
        <w:rPr>
          <w:lang w:val="el" w:eastAsia="el"/>
        </w:rPr>
      </w:pPr>
      <w:r>
        <w:rPr>
          <w:lang w:val="el" w:eastAsia="el"/>
        </w:rPr>
        <w:t xml:space="preserve">15. </w:t>
      </w:r>
      <w:r>
        <w:rPr>
          <w:b/>
          <w:bCs/>
          <w:lang w:val="el" w:eastAsia="el"/>
        </w:rPr>
        <w:t>Δ/νση Υποστήριξης Ηλεκτρονικών Υπηρεσιών (Δ.ΥΠ.ΗΛ.Υ.)</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Διευθυντή Φορολογικής Διοίκησης</w:t>
      </w:r>
    </w:p>
    <w:p>
      <w:pPr>
        <w:spacing w:before="240" w:after="240"/>
        <w:rPr>
          <w:lang w:val="el" w:eastAsia="el"/>
        </w:rPr>
      </w:pPr>
      <w:r>
        <w:rPr>
          <w:lang w:val="el" w:eastAsia="el"/>
        </w:rPr>
        <w:t xml:space="preserve">3. </w:t>
      </w:r>
      <w:r>
        <w:rPr>
          <w:b/>
          <w:bCs/>
          <w:lang w:val="el" w:eastAsia="el"/>
        </w:rPr>
        <w:t>Δ/νση Νομικής Υποστήριξης της Α.Α.Δ.Ε.</w:t>
      </w:r>
    </w:p>
    <w:p>
      <w:pPr>
        <w:spacing w:before="240" w:after="240"/>
        <w:rPr>
          <w:lang w:val="el" w:eastAsia="el"/>
        </w:rPr>
      </w:pPr>
      <w:r>
        <w:rPr>
          <w:lang w:val="el" w:eastAsia="el"/>
        </w:rPr>
        <w:t xml:space="preserve">4. </w:t>
      </w:r>
      <w:r>
        <w:rPr>
          <w:b/>
          <w:bCs/>
          <w:lang w:val="el" w:eastAsia="el"/>
        </w:rPr>
        <w:t>Όλες τις Διευθύνεις της Γενικής Διεύθυνσης Φορολογικής Διοίκησης</w:t>
      </w:r>
    </w:p>
    <w:p>
      <w:pPr>
        <w:spacing w:before="240" w:after="240"/>
        <w:rPr>
          <w:lang w:val="el" w:eastAsia="el"/>
        </w:rPr>
      </w:pPr>
      <w:r>
        <w:rPr>
          <w:lang w:val="el" w:eastAsia="el"/>
        </w:rPr>
        <w:t xml:space="preserve">5. </w:t>
      </w:r>
      <w:r>
        <w:rPr>
          <w:b/>
          <w:bCs/>
          <w:lang w:val="el" w:eastAsia="el"/>
        </w:rPr>
        <w:t>Δ/νση Εφαρμογής Έμμεσης Φορολογίας,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