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ΣΤΡΑΤΗΓΙΚΗΣ ΤΕΛ. ΕΛΕΓΧΩΝ &amp; ΠΑΡΑΒΑΣΕΩΝ</w:t>
      </w:r>
    </w:p>
    <w:p>
      <w:pPr>
        <w:pStyle w:val="PreambelText"/>
        <w:spacing w:before="240" w:after="240"/>
        <w:rPr>
          <w:lang w:val="el" w:eastAsia="el"/>
        </w:rPr>
      </w:pPr>
      <w:r>
        <w:rPr>
          <w:b/>
          <w:bCs/>
          <w:lang w:val="el" w:eastAsia="el"/>
        </w:rPr>
        <w:t>ΤΜΗΜΑΤΑ Γ΄&amp; Δ΄</w:t>
      </w:r>
    </w:p>
    <w:p>
      <w:pPr>
        <w:pStyle w:val="PreambelText"/>
        <w:spacing w:before="240" w:after="240"/>
        <w:rPr>
          <w:lang w:val="el" w:eastAsia="el"/>
        </w:rPr>
      </w:pPr>
      <w:r>
        <w:rPr>
          <w:lang w:val="el" w:eastAsia="el"/>
        </w:rPr>
        <w:t xml:space="preserve">2. </w:t>
      </w: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3. </w:t>
      </w:r>
      <w:r>
        <w:rPr>
          <w:b/>
          <w:bCs/>
          <w:lang w:val="el" w:eastAsia="el"/>
        </w:rPr>
        <w:t>ΔΙΕΥΘΥΝΣΗ ΕΙΔΙΚΩΝ ΦΟΡΩΝ ΚΑΤΑΝΑΛΩΣΗΣ</w:t>
      </w:r>
    </w:p>
    <w:p>
      <w:pPr>
        <w:spacing w:before="240" w:after="240"/>
        <w:rPr>
          <w:lang w:val="el" w:eastAsia="el"/>
        </w:rPr>
      </w:pPr>
      <w:r>
        <w:rPr>
          <w:b/>
          <w:bCs/>
          <w:lang w:val="el" w:eastAsia="el"/>
        </w:rPr>
        <w:t>ΚΑΙ ΦΠΑ</w:t>
      </w:r>
    </w:p>
    <w:p>
      <w:pPr>
        <w:spacing w:before="240" w:after="240"/>
        <w:rPr>
          <w:lang w:val="el" w:eastAsia="el"/>
        </w:rPr>
      </w:pPr>
      <w:r>
        <w:rPr>
          <w:b/>
          <w:bCs/>
          <w:lang w:val="el" w:eastAsia="el"/>
        </w:rPr>
        <w:t>ΤΜΗΜΑΤΑ Α΄ΚΑΙ Β΄</w:t>
      </w:r>
    </w:p>
    <w:p>
      <w:pPr>
        <w:spacing w:before="240" w:after="240"/>
        <w:rPr>
          <w:lang w:val="el" w:eastAsia="el"/>
        </w:rPr>
      </w:pPr>
      <w:r>
        <w:rPr>
          <w:b/>
          <w:bCs/>
          <w:lang w:val="el" w:eastAsia="el"/>
        </w:rPr>
        <w:t>Β) ΓΕΝΙΚΗ ΔΙΕΥΘΥΝΣΗ ΓΕΝΙΚΟΥ ΧΗΜΕΙΟΥ ΤΟΥ ΚΡΑΤΟΥΣ</w:t>
      </w:r>
    </w:p>
    <w:p>
      <w:pPr>
        <w:spacing w:before="240" w:after="240"/>
        <w:rPr>
          <w:lang w:val="el" w:eastAsia="el"/>
        </w:rPr>
      </w:pPr>
      <w:r>
        <w:rPr>
          <w:lang w:val="el" w:eastAsia="el"/>
        </w:rPr>
        <w:t xml:space="preserve">1) </w:t>
      </w:r>
      <w:r>
        <w:rPr>
          <w:b/>
          <w:bCs/>
          <w:lang w:val="el" w:eastAsia="el"/>
        </w:rPr>
        <w:t>ΔΙΕΥΘΥΝΣΗ ΕΝΕΡΓΕΙΑΚΩΝ ΒΙΟΜΗΧΑΝΙΚΩΝ</w:t>
      </w:r>
    </w:p>
    <w:p>
      <w:pPr>
        <w:spacing w:before="240" w:after="240"/>
        <w:rPr>
          <w:lang w:val="el" w:eastAsia="el"/>
        </w:rPr>
      </w:pPr>
      <w:r>
        <w:rPr>
          <w:b/>
          <w:bCs/>
          <w:lang w:val="el" w:eastAsia="el"/>
        </w:rPr>
        <w:t>&amp; ΧΗΜΙΚΩΝ ΠΡΟΪΟΝΤΩΝ</w:t>
      </w:r>
    </w:p>
    <w:p>
      <w:pPr>
        <w:spacing w:before="240" w:after="240"/>
        <w:rPr>
          <w:lang w:val="el" w:eastAsia="el"/>
        </w:rPr>
      </w:pPr>
      <w:r>
        <w:rPr>
          <w:b/>
          <w:bCs/>
          <w:lang w:val="el" w:eastAsia="el"/>
        </w:rPr>
        <w:t>ΤΜΗΜΑΤΑ Α΄&amp; Β΄</w:t>
      </w:r>
    </w:p>
    <w:p>
      <w:pPr>
        <w:spacing w:before="240" w:after="240"/>
        <w:rPr>
          <w:lang w:val="el" w:eastAsia="el"/>
        </w:rPr>
      </w:pPr>
      <w:r>
        <w:rPr>
          <w:lang w:val="el" w:eastAsia="el"/>
        </w:rPr>
        <w:t xml:space="preserve">2) </w:t>
      </w:r>
      <w:r>
        <w:rPr>
          <w:b/>
          <w:bCs/>
          <w:lang w:val="el" w:eastAsia="el"/>
        </w:rPr>
        <w:t>Δ/ΝΣΗ ΑΛΚΟΟΛΗΣ ΚΑΙ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6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Η. Χρηστάκης</w:t>
            </w:r>
          </w:p>
          <w:p>
            <w:pPr>
              <w:spacing w:before="240"/>
              <w:rPr>
                <w:b w:val="0"/>
                <w:bCs w:val="0"/>
                <w:i w:val="0"/>
                <w:iCs w:val="0"/>
                <w:smallCaps w:val="0"/>
                <w:color w:val="000000"/>
                <w:lang w:val="el" w:eastAsia="el"/>
              </w:rPr>
            </w:pPr>
            <w:r>
              <w:rPr>
                <w:b/>
                <w:bCs/>
                <w:i w:val="0"/>
                <w:iCs w:val="0"/>
                <w:smallCaps w:val="0"/>
                <w:color w:val="000000"/>
                <w:lang w:val="el" w:eastAsia="el"/>
              </w:rPr>
              <w:t>Χ. Χατζηαναστασίου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2132115907, 2107259326 2106987457</w:t>
            </w:r>
          </w:p>
          <w:p>
            <w:pPr>
              <w:spacing w:before="240" w:after="240"/>
              <w:rPr>
                <w:b w:val="0"/>
                <w:bCs w:val="0"/>
                <w:i w:val="0"/>
                <w:iCs w:val="0"/>
                <w:smallCaps w:val="0"/>
                <w:color w:val="000000"/>
                <w:lang w:val="el" w:eastAsia="el"/>
              </w:rPr>
            </w:pPr>
            <w:r>
              <w:rPr>
                <w:b/>
                <w:bCs/>
                <w:i w:val="0"/>
                <w:iCs w:val="0"/>
                <w:smallCaps w:val="0"/>
                <w:color w:val="000000"/>
                <w:lang w:val="el" w:eastAsia="el"/>
              </w:rPr>
              <w:t>2106479450</w:t>
            </w:r>
          </w:p>
          <w:p>
            <w:pPr>
              <w:spacing w:before="240" w:after="240"/>
              <w:rPr>
                <w:b w:val="0"/>
                <w:bCs w:val="0"/>
                <w:i w:val="0"/>
                <w:iCs w:val="0"/>
                <w:smallCaps w:val="0"/>
                <w:color w:val="000000"/>
                <w:lang w:val="el" w:eastAsia="el"/>
              </w:rPr>
            </w:pPr>
            <w:r>
              <w:rPr>
                <w:b/>
                <w:bCs/>
                <w:i w:val="0"/>
                <w:iCs w:val="0"/>
                <w:smallCaps w:val="0"/>
                <w:color w:val="000000"/>
                <w:lang w:val="el" w:eastAsia="el"/>
              </w:rPr>
              <w:t>2106479269 2106479231</w:t>
            </w:r>
          </w:p>
          <w:p>
            <w:pPr>
              <w:spacing w:before="240"/>
              <w:rPr>
                <w:b w:val="0"/>
                <w:bCs w:val="0"/>
                <w:i w:val="0"/>
                <w:iCs w:val="0"/>
                <w:smallCaps w:val="0"/>
                <w:color w:val="000000"/>
                <w:lang w:val="el" w:eastAsia="el"/>
              </w:rPr>
            </w:pPr>
            <w:r>
              <w:rPr>
                <w:b/>
                <w:bCs/>
                <w:i w:val="0"/>
                <w:iCs w:val="0"/>
                <w:smallCaps w:val="0"/>
                <w:color w:val="000000"/>
                <w:lang w:val="el" w:eastAsia="el"/>
              </w:rPr>
              <w:t>2106479222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dstepdrugs@ aade.gr</w:t>
              </w:r>
            </w:hyperlink>
            <w:hyperlink r:id="rId5" w:history="1">
              <w:r>
                <w:rPr>
                  <w:rStyle w:val="Hyperlink"/>
                  <w:b/>
                  <w:bCs/>
                  <w:i w:val="0"/>
                  <w:iCs w:val="0"/>
                  <w:smallCaps w:val="0"/>
                  <w:color w:val="0000EE"/>
                  <w:u w:color="0000EE"/>
                  <w:lang w:val="el" w:eastAsia="el"/>
                </w:rPr>
                <w:t>dstepoffences@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 xml:space="preserve">dtd </w:t>
              </w:r>
              <w:r>
                <w:rPr>
                  <w:rStyle w:val="Hyperlink"/>
                  <w:b/>
                  <w:bCs/>
                  <w:i w:val="0"/>
                  <w:iCs w:val="0"/>
                  <w:smallCaps w:val="0"/>
                  <w:color w:val="0000EE"/>
                  <w:u w:color="0000EE"/>
                  <w:lang w:val="el" w:eastAsia="el"/>
                </w:rPr>
                <w:t xml:space="preserve">@ </w:t>
              </w:r>
              <w:r>
                <w:rPr>
                  <w:rStyle w:val="Hyperlink"/>
                  <w:b/>
                  <w:bCs/>
                  <w:i w:val="0"/>
                  <w:iCs w:val="0"/>
                  <w:smallCaps w:val="0"/>
                  <w:color w:val="0000EE"/>
                  <w:u w:color="0000EE"/>
                  <w:lang w:val="el" w:eastAsia="el"/>
                </w:rPr>
                <w:t>aade.gr</w:t>
              </w:r>
            </w:hyperlink>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devxp .gcsl@ </w:t>
            </w:r>
            <w:r>
              <w:rPr>
                <w:b/>
                <w:bCs/>
                <w:i w:val="0"/>
                <w:iCs w:val="0"/>
                <w:smallCaps w:val="0"/>
                <w:color w:val="000000"/>
                <w:u w:val="single" w:color="000000"/>
                <w:lang w:val="el" w:eastAsia="el"/>
              </w:rPr>
              <w:t>aade.gr</w:t>
            </w:r>
          </w:p>
          <w:p>
            <w:pPr>
              <w:spacing w:before="240"/>
              <w:rPr>
                <w:b w:val="0"/>
                <w:bCs w:val="0"/>
                <w:i w:val="0"/>
                <w:iCs w:val="0"/>
                <w:smallCaps w:val="0"/>
                <w:color w:val="000000"/>
                <w:lang w:val="el" w:eastAsia="el"/>
              </w:rPr>
            </w:pPr>
            <w:hyperlink r:id="rId7" w:history="1">
              <w:r>
                <w:rPr>
                  <w:rStyle w:val="Hyperlink"/>
                  <w:b/>
                  <w:bCs/>
                  <w:i w:val="0"/>
                  <w:iCs w:val="0"/>
                  <w:smallCaps w:val="0"/>
                  <w:color w:val="0000EE"/>
                  <w:u w:color="0000EE"/>
                  <w:lang w:val="el" w:eastAsia="el"/>
                </w:rPr>
                <w:t>dat.gcsl@aade.gr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www .aade.gr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Διευκρινίσεις σχετικά με την εφαρμογή της παρ. 1Α του άρθρου 171 του ν.2960/2001, το οποίο προστέθηκε με το άρθρο 49 του ν.4818/2021 (ΦΕΚ 124 Α΄/18.07.2021).</w:t>
      </w:r>
    </w:p>
    <w:p>
      <w:pPr>
        <w:spacing w:before="240" w:after="240"/>
        <w:rPr>
          <w:lang w:val="el" w:eastAsia="el"/>
        </w:rPr>
      </w:pPr>
      <w:r>
        <w:rPr>
          <w:b/>
          <w:bCs/>
          <w:lang w:val="el" w:eastAsia="el"/>
        </w:rPr>
        <w:t>ΣΧΕΤ.: (α) Το άρθρο 49 του ν.4818/2021 , ο οποίος δημοσιεύτηκε στην Εφημερίδα της Κυβερνήσεως και έλαβε αριθμό ΦΕΚ 124 Α΄/18.07.2021, με το οποίο επήλθαν τροποποιήσεις στις διατάξεις του άρθρου 171 του ν.2960/2001 (Α΄ 265) «Εθνικός Τελωνειακός Κώδικας». Με τις νέες διατάξεις προβλέπεται στον Εθνικό Τελωνειακό Κώδικα μια ειδική ταχύτατη διαδικασία διαχείρισης των κατασχεμένων επικίνδυνων χημικών υλικών, ώστε να αποφεύγονται οι κίνδυνοι για τη δημόσια ασφάλεια ή/ και το περιβάλλον.</w:t>
      </w:r>
    </w:p>
    <w:p>
      <w:pPr>
        <w:spacing w:before="240" w:after="240"/>
        <w:rPr>
          <w:lang w:val="el" w:eastAsia="el"/>
        </w:rPr>
      </w:pPr>
      <w:r>
        <w:rPr>
          <w:b/>
          <w:bCs/>
          <w:lang w:val="el" w:eastAsia="el"/>
        </w:rPr>
        <w:t>(β) Η Εγκύκλιος Ε.2157/30.07.2021 του Διοικητή της Α.Α.Δ.Ε. (ΑΔΑ 97ΟΖ46ΜΠ3Ζ- Σ20) με την οποία κοινοποιήθηκαν οι διατάξεις του άρθρου 49 του ν.4818/2021 (ΦΕΚ 124 Α΄/18.07.2021).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διευκρινίσεων εφαρμογής επί των διατάξεων του άρθρου 171 παρ. 1Α του ν.2960/2001 (ΦΕΚ 265 Α' /22.11.2001), με τίτλο «Εθνικός Τελωνειακός Κώδικας», το οποίο προστέθηκε με το άρθρο 49 του ν.4818/2021 (ΦΕΚ 124 Α΄/18.07.2021.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Διευκρινίζονται θέματα επί των ειδών των κατασχεμένων προϊόντων που εμπίπτουν στις εν λόγω διατάξεις και ειδικά όσον αφορά στην αιθυλική αλκοόλη, τους αδειοδοτημένους φορείς διαχείρισης επικίνδυνων αποβλήτων, τον ρόλο της τριμελούς επιτροπής και της έννοιας του τελευταίου εδαφίου β) της παρ. 1</w:t>
      </w:r>
      <w:r>
        <w:rPr>
          <w:b/>
          <w:bCs/>
          <w:sz w:val="30"/>
          <w:szCs w:val="30"/>
          <w:vertAlign w:val="superscript"/>
          <w:lang w:val="el" w:eastAsia="el"/>
        </w:rPr>
        <w:t>Α</w:t>
      </w:r>
      <w:r>
        <w:rPr>
          <w:b/>
          <w:bCs/>
          <w:lang w:val="el" w:eastAsia="el"/>
        </w:rPr>
        <w:t xml:space="preserve"> του άρθρου 171 του ν.2960/2001.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διατάξεις του άρθρου 171 παρ. 1Α του ν.2960/2001 αφορούν τις Τελωνειακές Αρχές, τις Χημικές Υπηρεσίες και τις εταιρείες διαχείρισης επικίνδυνων αποβλήτων.</w:t>
      </w:r>
    </w:p>
    <w:p>
      <w:pPr>
        <w:spacing w:before="240" w:after="240"/>
        <w:rPr>
          <w:lang w:val="el" w:eastAsia="el"/>
        </w:rPr>
      </w:pPr>
      <w:r>
        <w:rPr>
          <w:b/>
          <w:bCs/>
          <w:lang w:val="el" w:eastAsia="el"/>
        </w:rPr>
        <w:t>Αναφορικά με το θέμα σας γνωρίζουμε τα ακόλουθα:</w:t>
      </w:r>
    </w:p>
    <w:p>
      <w:pPr>
        <w:spacing w:before="240" w:after="240"/>
        <w:rPr>
          <w:lang w:val="el" w:eastAsia="el"/>
        </w:rPr>
      </w:pPr>
      <w:r>
        <w:rPr>
          <w:lang w:val="el" w:eastAsia="el"/>
        </w:rPr>
        <w:t xml:space="preserve">1. </w:t>
      </w:r>
      <w:r>
        <w:rPr>
          <w:b/>
          <w:bCs/>
          <w:lang w:val="el" w:eastAsia="el"/>
        </w:rPr>
        <w:t>Με το ως άνω (α) σχετικό επήλθαν τροποποιήσεις στον Εθνικό Τελωνειακό Κώδικα και συγκεκριμένα στο άρθρο 171 αυτού, με την προσθήκη της παραγράφου 1Α στο εν λόγω άρθρο, προκειμένου να προβλεφθεί μία ταχύτατη διαδικασία διαχείρισης ειδικά για τα κατασχεμένα επικίνδυνα χημικά υλικά, ώστε να αποφεύγονται οι κίνδυνοι για τη δημόσια ασφάλεια ή/και το περιβάλλον.</w:t>
      </w:r>
    </w:p>
    <w:p>
      <w:pPr>
        <w:spacing w:before="240" w:after="240"/>
        <w:rPr>
          <w:lang w:val="el" w:eastAsia="el"/>
        </w:rPr>
      </w:pPr>
      <w:r>
        <w:rPr>
          <w:lang w:val="el" w:eastAsia="el"/>
        </w:rPr>
        <w:t xml:space="preserve">2. </w:t>
      </w:r>
      <w:r>
        <w:rPr>
          <w:b/>
          <w:bCs/>
          <w:lang w:val="el" w:eastAsia="el"/>
        </w:rPr>
        <w:t>Οι ανωτέρω τροποποιήσεις κοινοποιήθηκαν με το ως άνω (β) σχετικό στις Τελωνειακές Αρχές καθώς και στη Γενική Διεύθυνση του Γ.Χ.Κ. για διαβίβαση στις Χημικές Υπηρεσίες.</w:t>
      </w:r>
    </w:p>
    <w:p>
      <w:pPr>
        <w:spacing w:before="240" w:after="240"/>
        <w:rPr>
          <w:lang w:val="el" w:eastAsia="el"/>
        </w:rPr>
      </w:pPr>
      <w:r>
        <w:rPr>
          <w:lang w:val="el" w:eastAsia="el"/>
        </w:rPr>
        <w:t xml:space="preserve">3. </w:t>
      </w:r>
      <w:r>
        <w:rPr>
          <w:b/>
          <w:bCs/>
          <w:lang w:val="el" w:eastAsia="el"/>
        </w:rPr>
        <w:t>Λαμβανομένων υπόψη των παραπάνω σχετικών διευκρινίζονται τα κάτωθι όσον αφορά στις διατάξεις της παρ. 1Α του άρθρου 171 του ν.2960/2001:</w:t>
      </w:r>
    </w:p>
    <w:p>
      <w:pPr>
        <w:pStyle w:val="StructureList1"/>
        <w:spacing w:before="120" w:after="0"/>
        <w:rPr>
          <w:lang w:val="el" w:eastAsia="el"/>
        </w:rPr>
      </w:pPr>
      <w:r>
        <w:rPr>
          <w:lang w:val="el" w:eastAsia="el"/>
        </w:rPr>
        <w:t>α)</w:t>
      </w:r>
      <w:r>
        <w:rPr>
          <w:lang w:val="en" w:eastAsia="en"/>
        </w:rPr>
        <w:tab/>
      </w:r>
      <w:r>
        <w:rPr>
          <w:b/>
          <w:bCs/>
          <w:lang w:val="el" w:eastAsia="el"/>
        </w:rPr>
        <w:t>Με τον όρο «… κατασχεμένα από τις τελωνειακές αρχές …» νοούνται και τα κατασχεμένα από άλλες διωκτικές αρχές που είτε έχουν παραδοθεί στις τελωνειακές αρχές είτε οι τελευταίες έχουν αναλάβει τη διαχείρισή τους.</w:t>
      </w:r>
    </w:p>
    <w:p>
      <w:pPr>
        <w:pStyle w:val="StructureList1"/>
        <w:spacing w:before="120" w:after="0"/>
        <w:rPr>
          <w:lang w:val="el" w:eastAsia="el"/>
        </w:rPr>
      </w:pPr>
      <w:r>
        <w:rPr>
          <w:lang w:val="el" w:eastAsia="el"/>
        </w:rPr>
        <w:t>β)</w:t>
      </w:r>
      <w:r>
        <w:rPr>
          <w:lang w:val="en" w:eastAsia="en"/>
        </w:rPr>
        <w:tab/>
      </w:r>
      <w:r>
        <w:rPr>
          <w:b/>
          <w:bCs/>
          <w:lang w:val="el" w:eastAsia="el"/>
        </w:rPr>
        <w:t>Για να έχει εφαρμογή η παρ. 1Α του άρθρου 171 του ν.2960/2001 θα πρέπει σε κάθε περίπτωση να έχει εξακριβωθεί η χημική ταυτότητα των κατασχεμένων και η αρμόδια Χημική Υπηρεσία να βεβαιώνει ότι το κατασχεμένο προϊόν είναι είτε ενεργειακό προϊόν του άρθρου 72, πλην των προϊόντων της περ. α’ της παρ. 1 και της παρ. 2, είτε έχει ταξινομηθεί ως εύφλεκτο ή γενικότερα επικίνδυνο υλικό, σύμφωνα με τα κριτήρια του Κανονισμού «για την ταξινόμηση, επισήμανση, συσκευασία χημικών ουσιών και μειγμάτων» (Κανονισμός (EK) 1272/2008,(CLP).</w:t>
      </w:r>
    </w:p>
    <w:p>
      <w:pPr>
        <w:pStyle w:val="StructureList1"/>
        <w:spacing w:before="120" w:after="0"/>
        <w:rPr>
          <w:lang w:val="el" w:eastAsia="el"/>
        </w:rPr>
      </w:pPr>
      <w:r>
        <w:rPr>
          <w:lang w:val="el" w:eastAsia="el"/>
        </w:rPr>
        <w:t>γ)</w:t>
      </w:r>
      <w:r>
        <w:rPr>
          <w:lang w:val="en" w:eastAsia="en"/>
        </w:rPr>
        <w:tab/>
      </w:r>
      <w:r>
        <w:rPr>
          <w:b/>
          <w:bCs/>
          <w:lang w:val="el" w:eastAsia="el"/>
        </w:rPr>
        <w:t>Στην περίπτωση που πρόκειται για τα παρακάτω κατασχεμένα προϊόντα: i) συνθετική αιθυλική αλκοόλη ή αιθυλική αλκοόλη μη γεωργικής προέλευσης (μετουσιωμένες ή μη) ή ii) μετουσιωμένη (πλήρως ή μερικώς) αιθυλική αλκοόλη γεωργικής προέλευσης ή iii) αλκοολούχα προϊόντα τύπου λοσιόν, αντισηπτικά, εμφιαλωμένο οινόπνευμα κλπ ή iv) χύμα αλκοολούχα υγρά άγνωστης ταυτότητας και χωρίς ιχνηλασιμότητα σε οποιαδήποτε πληροφορία, τα οποία έχουν ταξινομηθεί ως εύφλεκτα ή επικίνδυνα σύμφωνα με τη διαδικασία που περιγράφεται στην ανωτέρω παρ. 3(β), αυτά θα κατευθύνονται προς καταστροφή με τις διαδικασίες που προβλέπονται στην παρ. 1Α του άρθρου 171 του ν.2960/2001.</w:t>
      </w:r>
    </w:p>
    <w:p>
      <w:pPr>
        <w:spacing w:before="240" w:after="240"/>
        <w:rPr>
          <w:lang w:val="el" w:eastAsia="el"/>
        </w:rPr>
      </w:pPr>
      <w:r>
        <w:rPr>
          <w:b/>
          <w:bCs/>
          <w:lang w:val="el" w:eastAsia="el"/>
        </w:rPr>
        <w:t>Στην ανωτέρω διαδικασία δεν εμπίπτουν η αιθυλική αλκοόλη γεωργικής προέλευσης (εκτός του εμφιαλωμένου οινοπνεύματος, βλ. προηγούμενη παράγραφο), τα αλκοολούχα ποτά, ο ζύθος, τα ποτά από ζύμωση, τα προϊόντα απόσταξης μικρών αποσταγματοποιών (διημέρων) και τα χαμηλόβαθμα αλκοολούχα ποτά, δεδομένου ότι εντάσσονται στον ορισμό του τροφίμου κατά την έννοια του άρθρου 2 του καν.(ΕΚ) 178/2002 ανεξάρτητα από το αν έχουν κριθεί ως μη κανονικά ή/και μη ασφαλή. Για το λόγο αυτό δεν εμπίπτουν στο πεδίο εφαρμογής τόσο του κανονισμού (ΕΚ) 1272/2008, όσο και των διατάξεων του άρθρου 171 (παρ. 1Α) του ν. 2960/2001. Για τα εν λόγω κατασχεμένα προϊόντα θα σας αποσταλούν οδηγίες για την περαιτέρω διαχείριση προκειμένου να κατευθυνθούν στους προβλεπόμενους από το ν.2960/2001 προορισμούς με άλλη εγκύκλιο.</w:t>
      </w:r>
    </w:p>
    <w:p>
      <w:pPr>
        <w:pStyle w:val="StructureList1"/>
        <w:spacing w:before="120" w:after="0"/>
        <w:rPr>
          <w:lang w:val="el" w:eastAsia="el"/>
        </w:rPr>
      </w:pPr>
      <w:r>
        <w:rPr>
          <w:lang w:val="el" w:eastAsia="el"/>
        </w:rPr>
        <w:t>δ)</w:t>
      </w:r>
      <w:r>
        <w:rPr>
          <w:lang w:val="en" w:eastAsia="en"/>
        </w:rPr>
        <w:tab/>
      </w:r>
      <w:r>
        <w:rPr>
          <w:b/>
          <w:bCs/>
          <w:lang w:val="el" w:eastAsia="el"/>
        </w:rPr>
        <w:t>Οι αδειοδοτημένοι φορείς διαχείρισης επικίνδυνων αποβλήτων είναι σε κάθε περίπτωση αυτοί που αναφέρονται στο ηλεκτρονικό μητρώο αποβλήτων του Υπουργείου Περιβάλλοντος και Ενέργειας στην ηλεκτρονική διεύθυνση:</w:t>
      </w:r>
      <w:hyperlink r:id="rId9" w:history="1">
        <w:r>
          <w:rPr>
            <w:rStyle w:val="Hyperlink"/>
            <w:b/>
            <w:bCs/>
            <w:color w:val="0000EE"/>
            <w:u w:color="0000EE"/>
            <w:lang w:val="el" w:eastAsia="el"/>
          </w:rPr>
          <w:t>https://wrm.ypeka.gr/</w:t>
        </w:r>
      </w:hyperlink>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που τα κατασχεμένα προϊόντα πρόκειται να αποσταλούν στο εξωτερικό για καταστροφή, θα ακολουθείται η κατά περίπτωση προβλεπόμενη από τις διατάξεις διαδικασία και ο ρόλος της τριμελούς επιτροπής θα αφορά στην παράδοση των επικίνδυνων προς καταστροφή υλικών στην μεταφορική εταιρεία που θα μεταφέρει τα εν λόγω υλικά προς καταστροφή.</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που για την ολοκλήρωση της διαδικασίας καταστροφής των κατασχεμένων προϊόντων απαιτείται η καύση των τυχόν υπολειμμάτων και απορριμμάτων της καταστροφής και προκειμένου για την εφαρμογή των διατάξεων του εδαφίου β) της παρ. 1Α του άρθρου 171 του ν.2960/2001, οι φορείς που προβαίνουν στην καταστροφή θα υποβάλλουν στην αρμόδια επιτροπή καταστροφής, βεβαίωση ότι η καύση των υπολειμμάτων και απορριμμάτων αποτελεί το τελικό στάδιο της διαδικασίας καταστροφής καθώς και ότι αυτά δεν χρησιμοποιούνται ως καύσιμα κινητήρων ή θέρμανσης.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Δ΄</w:t>
      </w:r>
    </w:p>
    <w:p>
      <w:pPr>
        <w:spacing w:before="240" w:after="240"/>
        <w:rPr>
          <w:lang w:val="el" w:eastAsia="el"/>
        </w:rPr>
      </w:pPr>
      <w:r>
        <w:rPr>
          <w:b/>
          <w:bCs/>
          <w:lang w:val="el" w:eastAsia="el"/>
        </w:rPr>
        <w:t xml:space="preserve">2. </w:t>
      </w:r>
      <w:r>
        <w:rPr>
          <w:b/>
          <w:bCs/>
          <w:lang w:val="el" w:eastAsia="el"/>
        </w:rPr>
        <w:t>Χημικές Υπηρεσίες (μέσω Αυτοτελούς Τμήματος Υποστήριξης Γενικής Διεύθυνσης του Γ.Χ.Κ.)</w:t>
      </w:r>
    </w:p>
    <w:p>
      <w:pPr>
        <w:spacing w:before="240" w:after="240"/>
        <w:rPr>
          <w:lang w:val="el" w:eastAsia="el"/>
        </w:rPr>
      </w:pPr>
      <w:r>
        <w:rPr>
          <w:b/>
          <w:bCs/>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 κ. Βεσυρόπουλου</w:t>
      </w:r>
    </w:p>
    <w:p>
      <w:pPr>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spacing w:before="240" w:after="240"/>
        <w:rPr>
          <w:lang w:val="el" w:eastAsia="el"/>
        </w:rPr>
      </w:pPr>
      <w:r>
        <w:rPr>
          <w:b/>
          <w:bCs/>
          <w:lang w:val="el" w:eastAsia="el"/>
        </w:rPr>
        <w:t xml:space="preserve">4. </w:t>
      </w:r>
      <w:r>
        <w:rPr>
          <w:b/>
          <w:bCs/>
          <w:lang w:val="el" w:eastAsia="el"/>
        </w:rPr>
        <w:t>Δ/νση Νομικής Υποστήριξης Α.Α.Δ.Ε.</w:t>
      </w:r>
    </w:p>
    <w:p>
      <w:pPr>
        <w:spacing w:before="240" w:after="240"/>
        <w:rPr>
          <w:lang w:val="el" w:eastAsia="el"/>
        </w:rPr>
      </w:pPr>
      <w:r>
        <w:rPr>
          <w:b/>
          <w:bCs/>
          <w:lang w:val="el" w:eastAsia="el"/>
        </w:rPr>
        <w:t xml:space="preserve">5. </w:t>
      </w:r>
      <w:r>
        <w:rPr>
          <w:b/>
          <w:bCs/>
          <w:lang w:val="el" w:eastAsia="el"/>
        </w:rPr>
        <w:t>Σύνδεσμος Εταιριών Εμπορίας Πετρελαιοειδών (ΣΕΕΠΕ)</w:t>
      </w:r>
    </w:p>
    <w:p>
      <w:pPr>
        <w:spacing w:before="240" w:after="240"/>
        <w:rPr>
          <w:lang w:val="el" w:eastAsia="el"/>
        </w:rPr>
      </w:pPr>
      <w:r>
        <w:rPr>
          <w:b/>
          <w:bCs/>
          <w:lang w:val="el" w:eastAsia="el"/>
        </w:rPr>
        <w:t>Ίωνος Δραγούμη 46, 11528, Ιλίσια email:</w:t>
      </w:r>
      <w:hyperlink r:id="rId10"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6.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&amp; Σχέσεων με το Δημόσιο Χειμάρας 8 Α, 15125</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helpe@ helpe.gr</w:t>
        </w:r>
      </w:hyperlink>
    </w:p>
    <w:p>
      <w:pPr>
        <w:spacing w:before="240" w:after="240"/>
        <w:rPr>
          <w:lang w:val="el" w:eastAsia="el"/>
        </w:rPr>
      </w:pPr>
      <w:r>
        <w:rPr>
          <w:b/>
          <w:bCs/>
          <w:lang w:val="el" w:eastAsia="el"/>
        </w:rPr>
        <w:t xml:space="preserve">7. </w:t>
      </w:r>
      <w:r>
        <w:rPr>
          <w:b/>
          <w:bCs/>
          <w:lang w:val="el" w:eastAsia="el"/>
        </w:rPr>
        <w:t>MOTOR OIL (ΕΛΛΑΣ) Α.Ε.</w:t>
      </w:r>
    </w:p>
    <w:p>
      <w:pPr>
        <w:spacing w:before="240" w:after="240"/>
        <w:rPr>
          <w:lang w:val="el" w:eastAsia="el"/>
        </w:rPr>
      </w:pPr>
      <w:r>
        <w:rPr>
          <w:b/>
          <w:bCs/>
          <w:lang w:val="el" w:eastAsia="el"/>
        </w:rPr>
        <w:t>Ηρώδου Αττικού 12Α, 15 124, Μαρούσι email:</w:t>
      </w:r>
      <w:hyperlink r:id="rId12"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8. </w:t>
      </w:r>
      <w:r>
        <w:rPr>
          <w:b/>
          <w:bCs/>
          <w:lang w:val="el" w:eastAsia="el"/>
        </w:rPr>
        <w:t>Σύνδεσμος Ελληνικών Χημικών Βιομηχανιών (ΣΕΧΒ)</w:t>
      </w:r>
    </w:p>
    <w:p>
      <w:pPr>
        <w:spacing w:before="240" w:after="240"/>
        <w:rPr>
          <w:lang w:val="el" w:eastAsia="el"/>
        </w:rPr>
      </w:pPr>
      <w:r>
        <w:rPr>
          <w:b/>
          <w:bCs/>
          <w:lang w:val="el" w:eastAsia="el"/>
        </w:rPr>
        <w:t>Βασιλέως Ηρακλείου 8, ΤΚ 10682, Αθήνα, e-mail:</w:t>
      </w:r>
      <w:hyperlink r:id="rId13" w:history="1">
        <w:r>
          <w:rPr>
            <w:rStyle w:val="Hyperlink"/>
            <w:b/>
            <w:bCs/>
            <w:color w:val="0000EE"/>
            <w:u w:color="0000EE"/>
            <w:lang w:val="el" w:eastAsia="el"/>
          </w:rPr>
          <w:t>hac i@ otenet.gr</w:t>
        </w:r>
      </w:hyperlink>
    </w:p>
    <w:p>
      <w:pPr>
        <w:spacing w:before="240" w:after="240"/>
        <w:rPr>
          <w:lang w:val="el" w:eastAsia="el"/>
        </w:rPr>
      </w:pPr>
      <w:r>
        <w:rPr>
          <w:b/>
          <w:bCs/>
          <w:lang w:val="el" w:eastAsia="el"/>
        </w:rPr>
        <w:t xml:space="preserve">9. </w:t>
      </w:r>
      <w:r>
        <w:rPr>
          <w:b/>
          <w:bCs/>
          <w:lang w:val="el" w:eastAsia="el"/>
        </w:rPr>
        <w:t>Σύνδεσμος Βιοκαυσίμων και Βιομάζας Ελλάδας (ΣΒΙΒΕ)</w:t>
      </w:r>
    </w:p>
    <w:p>
      <w:pPr>
        <w:spacing w:before="240" w:after="240"/>
        <w:rPr>
          <w:lang w:val="el" w:eastAsia="el"/>
        </w:rPr>
      </w:pPr>
      <w:r>
        <w:rPr>
          <w:b/>
          <w:bCs/>
          <w:lang w:val="el" w:eastAsia="el"/>
        </w:rPr>
        <w:t>Ι. Τσαλουχίδη 4, ΤΚ 54248 Θεσσαλονίκη</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ΓΔ Τελωνείων και ΕΦΚ</w:t>
      </w:r>
    </w:p>
    <w:p>
      <w:pPr>
        <w:pStyle w:val="StructureList1"/>
        <w:spacing w:before="120" w:after="0"/>
        <w:rPr>
          <w:lang w:val="el" w:eastAsia="el"/>
        </w:rPr>
      </w:pPr>
      <w:r>
        <w:rPr>
          <w:b/>
          <w:bCs/>
          <w:lang w:val="el" w:eastAsia="el"/>
        </w:rPr>
        <w:t>-</w:t>
      </w:r>
      <w:r>
        <w:rPr>
          <w:b/>
          <w:bCs/>
          <w:lang w:val="en" w:eastAsia="en"/>
        </w:rPr>
        <w:tab/>
      </w:r>
      <w:r>
        <w:rPr>
          <w:b/>
          <w:bCs/>
          <w:lang w:val="el" w:eastAsia="el"/>
        </w:rPr>
        <w:t>Αυτοτελές Τμήμα Υποστήριξης Γεν. Δ/νσης Τελωνείων και ΕΦΚ</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ΓΔ Γενικού Χημείου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Ενεργειακών, Βιομηχανικών και Χημικών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Αλκοόλης και Τροφίμων</w:t>
      </w:r>
    </w:p>
    <w:p>
      <w:pPr>
        <w:spacing w:before="240" w:after="240"/>
        <w:rPr>
          <w:lang w:val="el" w:eastAsia="el"/>
        </w:rPr>
      </w:pPr>
      <w:r>
        <w:rPr>
          <w:b/>
          <w:bCs/>
          <w:lang w:val="el" w:eastAsia="el"/>
        </w:rPr>
        <w:t xml:space="preserve">4. </w:t>
      </w:r>
      <w:r>
        <w:rPr>
          <w:b/>
          <w:bCs/>
          <w:lang w:val="el" w:eastAsia="el"/>
        </w:rPr>
        <w:t>ΓΔ Οικονομικών Υπηρεσιών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Προμηθειών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Προϋπολογισμού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epe@seepe.gr" TargetMode="External" /><Relationship Id="rId11" Type="http://schemas.openxmlformats.org/officeDocument/2006/relationships/hyperlink" Target="mailto:helpe@helpe.gr" TargetMode="External" /><Relationship Id="rId12" Type="http://schemas.openxmlformats.org/officeDocument/2006/relationships/hyperlink" Target="mailto:Info@moh.gr" TargetMode="External" /><Relationship Id="rId13" Type="http://schemas.openxmlformats.org/officeDocument/2006/relationships/hyperlink" Target="mailto:haci@oten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stepdrugs@aade.gr" TargetMode="External" /><Relationship Id="rId5" Type="http://schemas.openxmlformats.org/officeDocument/2006/relationships/hyperlink" Target="mailto:dstepoffences@aade.gr" TargetMode="External" /><Relationship Id="rId6" Type="http://schemas.openxmlformats.org/officeDocument/2006/relationships/hyperlink" Target="mailto:dtd@aade.gr" TargetMode="External" /><Relationship Id="rId7" Type="http://schemas.openxmlformats.org/officeDocument/2006/relationships/hyperlink" Target="mailto:dat.gcsl@aade.gr" TargetMode="External" /><Relationship Id="rId8" Type="http://schemas.openxmlformats.org/officeDocument/2006/relationships/hyperlink" Target="http://www.aade.gr/" TargetMode="External" /><Relationship Id="rId9" Type="http://schemas.openxmlformats.org/officeDocument/2006/relationships/hyperlink" Target="https://wrm.ypek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